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3622" w:hAnchor="page" w:vAnchor="page" w:x="280" w:y="839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(Continued on the following page(s))</w:t>
      </w:r>
    </w:p>
    <w:p>
      <w:pPr>
        <w:pStyle w:val="Normal"/>
        <w:framePr w:w="2542" w:hAnchor="page" w:vAnchor="page" w:x="280" w:y="769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(however, see the Notes).</w:t>
      </w:r>
    </w:p>
    <w:p>
      <w:pPr>
        <w:pStyle w:val="Normal"/>
        <w:framePr w:w="13515" w:hAnchor="page" w:vAnchor="page" w:x="280" w:y="746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Exchange Act of 1934 ("Act") or otherwise subject to the liabilities of that section of the Act but shall be subject to all other provisions of the Act</w:t>
      </w:r>
    </w:p>
    <w:p>
      <w:pPr>
        <w:pStyle w:val="Normal"/>
        <w:framePr w:w="13058" w:hAnchor="page" w:vAnchor="page" w:x="520" w:y="724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information required in the remainder of this cover page shall not be deemed to be "filed" for the purpose of Section 18 of the Securities</w:t>
      </w:r>
    </w:p>
    <w:p>
      <w:pPr>
        <w:pStyle w:val="Normal"/>
        <w:framePr w:w="11587" w:hAnchor="page" w:vAnchor="page" w:x="280" w:y="677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and for any subsequent amendment containing information which would alter the disclosures provided in a prior cover page.</w:t>
      </w:r>
    </w:p>
    <w:p>
      <w:pPr>
        <w:pStyle w:val="Normal"/>
        <w:framePr w:w="13648" w:hAnchor="page" w:vAnchor="page" w:x="520" w:y="655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*The remainder of this cover page shall be filled out for a reporting person's initial filing on this form with respect to the subject class of securities,</w:t>
      </w:r>
    </w:p>
    <w:p>
      <w:pPr>
        <w:pStyle w:val="Normal"/>
        <w:framePr w:w="1958" w:hAnchor="page" w:vAnchor="page" w:x="520" w:y="6079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 Rule 13d-1(d)</w:t>
      </w:r>
    </w:p>
    <w:p>
      <w:pPr>
        <w:pStyle w:val="Normal"/>
        <w:framePr w:w="1945" w:hAnchor="page" w:vAnchor="page" w:x="520" w:y="564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 Rule 13d-1(c)</w:t>
      </w:r>
    </w:p>
    <w:p>
      <w:pPr>
        <w:pStyle w:val="Normal"/>
        <w:framePr w:w="1958" w:hAnchor="page" w:vAnchor="page" w:x="520" w:y="5208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☒</w:t>
      </w: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 Rule 13d-1(b)</w:t>
      </w:r>
    </w:p>
    <w:p>
      <w:pPr>
        <w:pStyle w:val="Normal"/>
        <w:framePr w:w="8257" w:hAnchor="page" w:vAnchor="page" w:x="280" w:y="479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Check the appropriate box to designate the rule pursuant to which this Schedule is filed:</w:t>
      </w:r>
    </w:p>
    <w:p>
      <w:pPr>
        <w:pStyle w:val="Normal"/>
        <w:framePr w:w="7193" w:hAnchor="page" w:vAnchor="page" w:x="280" w:y="432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Date of Event Which Requires Filing of this Statement: </w:t>
      </w:r>
      <w:r>
        <w:rPr>
          <w:rFonts w:ascii="TimesNewRomanPS-BoldMT" w:hAnsi="TimesNewRomanPS-BoldMT" w:fareast="TimesNewRomanPS-BoldMT" w:cs="TimesNewRomanPS-BoldMT"/>
          <w:color w:val="000000"/>
          <w:w w:val="100"/>
          <w:sz w:val="19"/>
          <w:szCs w:val="19"/>
        </w:rPr>
        <w:t>December 29, 2023</w:t>
      </w:r>
    </w:p>
    <w:p>
      <w:pPr>
        <w:pStyle w:val="Normal"/>
        <w:framePr w:w="2924" w:hAnchor="page" w:vAnchor="page" w:x="280" w:y="362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CUSIP Number:  G87110105</w:t>
      </w:r>
    </w:p>
    <w:p>
      <w:pPr>
        <w:pStyle w:val="Normal"/>
        <w:framePr w:w="4254" w:hAnchor="page" w:vAnchor="page" w:x="280" w:y="291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Title of Class of Securities:  Common Stock</w:t>
      </w:r>
    </w:p>
    <w:p>
      <w:pPr>
        <w:pStyle w:val="Normal"/>
        <w:framePr w:w="3474" w:hAnchor="page" w:vAnchor="page" w:x="280" w:y="22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Name of issuer:  TechnipFMC PLC</w:t>
      </w:r>
    </w:p>
    <w:p>
      <w:pPr>
        <w:pStyle w:val="Normal"/>
        <w:framePr w:w="4191" w:hAnchor="page" w:vAnchor="page" w:x="4469" w:y="126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 the Securities Exchange Act of 1934</w:t>
      </w:r>
    </w:p>
    <w:p>
      <w:pPr>
        <w:pStyle w:val="Normal"/>
        <w:framePr w:w="1513" w:hAnchor="page" w:vAnchor="page" w:x="5584" w:y="84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Schedule 13G</w:t>
      </w:r>
    </w:p>
    <w:p>
      <w:pPr>
        <w:pStyle w:val="Normal"/>
        <w:framePr w:w="2483" w:hAnchor="page" w:vAnchor="page" w:x="5180" w:y="38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D.C. 20549</w:t>
      </w:r>
    </w:p>
    <w:p>
      <w:pPr>
        <w:pStyle w:val="Normal"/>
        <w:framePr w:w="4896" w:hAnchor="page" w:vAnchor="page" w:x="4175" w:y="15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EXCHANGE COMMISSION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1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13pt;margin-top:455.9pt;z-index:-1677720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</w:p>
    <w:p>
      <w:pPr>
        <w:pStyle w:val="Normal"/>
        <w:framePr w:w="469" w:hAnchor="page" w:vAnchor="page" w:x="520" w:y="1320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IA</w:t>
      </w:r>
    </w:p>
    <w:p>
      <w:pPr>
        <w:pStyle w:val="Normal"/>
        <w:framePr w:w="3795" w:hAnchor="page" w:vAnchor="page" w:x="280" w:y="1273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12.  TYPE OF REPORTING PERSON</w:t>
      </w:r>
    </w:p>
    <w:p>
      <w:pPr>
        <w:pStyle w:val="Normal"/>
        <w:framePr w:w="817" w:hAnchor="page" w:vAnchor="page" w:x="520" w:y="1227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9.17%</w:t>
      </w:r>
    </w:p>
    <w:p>
      <w:pPr>
        <w:pStyle w:val="Normal"/>
        <w:framePr w:w="6876" w:hAnchor="page" w:vAnchor="page" w:x="280" w:y="1180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11.  PERCENT OF CLASS REPRESENTED BY AMOUNT IN ROW 9</w:t>
      </w:r>
    </w:p>
    <w:p>
      <w:pPr>
        <w:pStyle w:val="Normal"/>
        <w:framePr w:w="621" w:hAnchor="page" w:vAnchor="page" w:x="520" w:y="1134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N/A</w:t>
      </w:r>
    </w:p>
    <w:p>
      <w:pPr>
        <w:pStyle w:val="Normal"/>
        <w:framePr w:w="9582" w:hAnchor="page" w:vAnchor="page" w:x="280" w:y="1087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10.  CHECK BOX IF THE AGGREGATE AMOUNT IN ROW (9) EXCLUDES CERTAIN SHARES</w:t>
      </w:r>
    </w:p>
    <w:p>
      <w:pPr>
        <w:pStyle w:val="Normal"/>
        <w:framePr w:w="1254" w:hAnchor="page" w:vAnchor="page" w:x="520" w:y="1040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39,914,980</w:t>
      </w:r>
    </w:p>
    <w:p>
      <w:pPr>
        <w:pStyle w:val="Normal"/>
        <w:framePr w:w="8805" w:hAnchor="page" w:vAnchor="page" w:x="280" w:y="99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9.  AGGREGATE AMOUNT BENEFICIALLY OWNED BY EACH REPORTING PERSON</w:t>
      </w:r>
    </w:p>
    <w:p>
      <w:pPr>
        <w:pStyle w:val="Normal"/>
        <w:framePr w:w="961" w:hAnchor="page" w:vAnchor="page" w:x="520" w:y="947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570,119</w:t>
      </w:r>
    </w:p>
    <w:p>
      <w:pPr>
        <w:pStyle w:val="Normal"/>
        <w:framePr w:w="3718" w:hAnchor="page" w:vAnchor="page" w:x="280" w:y="90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8.  SHARED DISPOSITIVE POWER</w:t>
      </w:r>
    </w:p>
    <w:p>
      <w:pPr>
        <w:pStyle w:val="Normal"/>
        <w:framePr w:w="1254" w:hAnchor="page" w:vAnchor="page" w:x="520" w:y="854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39,344,861</w:t>
      </w:r>
    </w:p>
    <w:p>
      <w:pPr>
        <w:pStyle w:val="Normal"/>
        <w:framePr w:w="3376" w:hAnchor="page" w:vAnchor="page" w:x="280" w:y="808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7.  SOLE DISPOSITIVE POWER</w:t>
      </w:r>
    </w:p>
    <w:p>
      <w:pPr>
        <w:pStyle w:val="Normal"/>
        <w:framePr w:w="969" w:hAnchor="page" w:vAnchor="page" w:x="520" w:y="76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158,951</w:t>
      </w:r>
    </w:p>
    <w:p>
      <w:pPr>
        <w:pStyle w:val="Normal"/>
        <w:framePr w:w="3211" w:hAnchor="page" w:vAnchor="page" w:x="280" w:y="715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6.  SHARED VOTING POWER</w:t>
      </w:r>
    </w:p>
    <w:p>
      <w:pPr>
        <w:pStyle w:val="Normal"/>
        <w:framePr w:w="342" w:hAnchor="page" w:vAnchor="page" w:x="520" w:y="668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0</w:t>
      </w:r>
    </w:p>
    <w:p>
      <w:pPr>
        <w:pStyle w:val="Normal"/>
        <w:framePr w:w="2869" w:hAnchor="page" w:vAnchor="page" w:x="280" w:y="622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5.  SOLE VOTING POWER</w:t>
      </w:r>
    </w:p>
    <w:p>
      <w:pPr>
        <w:pStyle w:val="Normal"/>
        <w:framePr w:w="9238" w:hAnchor="page" w:vAnchor="page" w:x="280" w:y="575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(For questions 5-8, report the number of shares beneficially owned by each reporting person with:)</w:t>
      </w:r>
    </w:p>
    <w:p>
      <w:pPr>
        <w:pStyle w:val="Normal"/>
        <w:framePr w:w="1444" w:hAnchor="page" w:vAnchor="page" w:x="520" w:y="529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Pennsylvania</w:t>
      </w:r>
    </w:p>
    <w:p>
      <w:pPr>
        <w:pStyle w:val="Normal"/>
        <w:framePr w:w="5136" w:hAnchor="page" w:vAnchor="page" w:x="280" w:y="482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4.  CITIZENSHIP OF PLACE OF ORGANIZATION</w:t>
      </w:r>
    </w:p>
    <w:p>
      <w:pPr>
        <w:pStyle w:val="Normal"/>
        <w:framePr w:w="2086" w:hAnchor="page" w:vAnchor="page" w:x="280" w:y="387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3.  SEC USE ONLY</w:t>
      </w:r>
    </w:p>
    <w:p>
      <w:pPr>
        <w:pStyle w:val="Normal"/>
        <w:framePr w:w="507" w:hAnchor="page" w:vAnchor="page" w:x="388" w:y="341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A. </w:t>
      </w:r>
    </w:p>
    <w:p>
      <w:pPr>
        <w:pStyle w:val="Normal"/>
        <w:framePr w:w="716" w:hAnchor="page" w:vAnchor="page" w:x="5327" w:y="341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B.  X</w:t>
      </w:r>
    </w:p>
    <w:p>
      <w:pPr>
        <w:pStyle w:val="Normal"/>
        <w:framePr w:w="7005" w:hAnchor="page" w:vAnchor="page" w:x="280" w:y="294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2.  CHECK THE APPROPRIATE [LINE] IF A MEMBER OF A GROUP</w:t>
      </w:r>
    </w:p>
    <w:p>
      <w:pPr>
        <w:pStyle w:val="Normal"/>
        <w:framePr w:w="3445" w:hAnchor="page" w:vAnchor="page" w:x="520" w:y="248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Vanguard Group - 23-1945930</w:t>
      </w:r>
    </w:p>
    <w:p>
      <w:pPr>
        <w:pStyle w:val="Normal"/>
        <w:framePr w:w="5175" w:hAnchor="page" w:vAnchor="page" w:x="520" w:y="20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I.R.S. IDENTIFICATION NO. OF ABOVE PERSON</w:t>
      </w:r>
    </w:p>
    <w:p>
      <w:pPr>
        <w:pStyle w:val="Normal"/>
        <w:framePr w:w="3844" w:hAnchor="page" w:vAnchor="page" w:x="280" w:y="179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1.  NAME OF REPORTING PERSON </w:t>
      </w:r>
    </w:p>
    <w:p>
      <w:pPr>
        <w:pStyle w:val="Normal"/>
        <w:framePr w:w="2513" w:hAnchor="page" w:vAnchor="page" w:x="280" w:y="108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CUSIP No.:  G87110105</w:t>
      </w:r>
    </w:p>
    <w:p>
      <w:pPr>
        <w:pStyle w:val="Normal"/>
        <w:framePr w:w="621" w:hAnchor="page" w:vAnchor="page" w:x="5957" w:y="66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13G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2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7pt;margin-top:1pt;z-index:-16777204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13pt;margin-top:696.1pt;z-index:-16777200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278.8pt;margin-top:178.9pt;z-index:-16777196;width:8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</w:p>
    <w:p>
      <w:pPr>
        <w:pStyle w:val="Normal"/>
        <w:framePr w:w="2210" w:hAnchor="page" w:vAnchor="page" w:x="280" w:y="1087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(b) Percent of Class:</w:t>
      </w:r>
    </w:p>
    <w:p>
      <w:pPr>
        <w:pStyle w:val="Normal"/>
        <w:framePr w:w="3349" w:hAnchor="page" w:vAnchor="page" w:x="280" w:y="1040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  (a) Amount Beneficially Owned:</w:t>
      </w:r>
    </w:p>
    <w:p>
      <w:pPr>
        <w:pStyle w:val="Normal"/>
        <w:framePr w:w="2071" w:hAnchor="page" w:vAnchor="page" w:x="280" w:y="99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4 - Ownership:</w:t>
      </w:r>
    </w:p>
    <w:p>
      <w:pPr>
        <w:pStyle w:val="Normal"/>
        <w:framePr w:w="11214" w:hAnchor="page" w:vAnchor="page" w:x="520" w:y="947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This statement is being filed pursuant to Rule 13d-1.  An investment adviser in accordance with §240.13d-1(b)(1)(ii)(E).</w:t>
      </w:r>
    </w:p>
    <w:p>
      <w:pPr>
        <w:pStyle w:val="Normal"/>
        <w:framePr w:w="2371" w:hAnchor="page" w:vAnchor="page" w:x="280" w:y="90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3 - Type of Filing:</w:t>
      </w:r>
    </w:p>
    <w:p>
      <w:pPr>
        <w:pStyle w:val="Normal"/>
        <w:framePr w:w="1296" w:hAnchor="page" w:vAnchor="page" w:x="520" w:y="854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G87110105</w:t>
      </w:r>
    </w:p>
    <w:p>
      <w:pPr>
        <w:pStyle w:val="Normal"/>
        <w:framePr w:w="2710" w:hAnchor="page" w:vAnchor="page" w:x="280" w:y="808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2(e) - CUSIP Number</w:t>
      </w:r>
    </w:p>
    <w:p>
      <w:pPr>
        <w:pStyle w:val="Normal"/>
        <w:framePr w:w="1653" w:hAnchor="page" w:vAnchor="page" w:x="520" w:y="761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Common Stock</w:t>
      </w:r>
    </w:p>
    <w:p>
      <w:pPr>
        <w:pStyle w:val="Normal"/>
        <w:framePr w:w="3760" w:hAnchor="page" w:vAnchor="page" w:x="280" w:y="715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2(d) - Title of Class of Securities:</w:t>
      </w:r>
    </w:p>
    <w:p>
      <w:pPr>
        <w:pStyle w:val="Normal"/>
        <w:framePr w:w="1444" w:hAnchor="page" w:vAnchor="page" w:x="520" w:y="668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Pennsylvania</w:t>
      </w:r>
    </w:p>
    <w:p>
      <w:pPr>
        <w:pStyle w:val="Normal"/>
        <w:framePr w:w="2400" w:hAnchor="page" w:vAnchor="page" w:x="280" w:y="622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2(c) – Citizenship:</w:t>
      </w:r>
    </w:p>
    <w:p>
      <w:pPr>
        <w:pStyle w:val="Normal"/>
        <w:framePr w:w="1999" w:hAnchor="page" w:vAnchor="page" w:x="520" w:y="575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Malvern, PA 19355</w:t>
      </w:r>
    </w:p>
    <w:p>
      <w:pPr>
        <w:pStyle w:val="Normal"/>
        <w:framePr w:w="2058" w:hAnchor="page" w:vAnchor="page" w:x="520" w:y="553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100 Vanguard Blvd.</w:t>
      </w:r>
    </w:p>
    <w:p>
      <w:pPr>
        <w:pStyle w:val="Normal"/>
        <w:framePr w:w="6717" w:hAnchor="page" w:vAnchor="page" w:x="280" w:y="506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2(b) – Address of Principal Business Office or, if none, residence:</w:t>
      </w:r>
    </w:p>
    <w:p>
      <w:pPr>
        <w:pStyle w:val="Normal"/>
        <w:framePr w:w="3445" w:hAnchor="page" w:vAnchor="page" w:x="520" w:y="460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Vanguard Group - 23-1945930</w:t>
      </w:r>
    </w:p>
    <w:p>
      <w:pPr>
        <w:pStyle w:val="Normal"/>
        <w:framePr w:w="3394" w:hAnchor="page" w:vAnchor="page" w:x="280" w:y="413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2(a) - Name of Person Filing:</w:t>
      </w:r>
    </w:p>
    <w:p>
      <w:pPr>
        <w:pStyle w:val="Normal"/>
        <w:framePr w:w="2578" w:hAnchor="page" w:vAnchor="page" w:x="520" w:y="366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Houston, TX 77044-6444</w:t>
      </w:r>
    </w:p>
    <w:p>
      <w:pPr>
        <w:pStyle w:val="Normal"/>
        <w:framePr w:w="4078" w:hAnchor="page" w:vAnchor="page" w:x="520" w:y="344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13460 Lockwood Road, One Subsea Lane</w:t>
      </w:r>
    </w:p>
    <w:p>
      <w:pPr>
        <w:pStyle w:val="Normal"/>
        <w:framePr w:w="5634" w:hAnchor="page" w:vAnchor="page" w:x="280" w:y="297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1(b) - Address of Issuer's Principal Executive Offices:</w:t>
      </w:r>
    </w:p>
    <w:p>
      <w:pPr>
        <w:pStyle w:val="Normal"/>
        <w:framePr w:w="1916" w:hAnchor="page" w:vAnchor="page" w:x="520" w:y="25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TechnipFMC PLC</w:t>
      </w:r>
    </w:p>
    <w:p>
      <w:pPr>
        <w:pStyle w:val="Normal"/>
        <w:framePr w:w="2716" w:hAnchor="page" w:vAnchor="page" w:x="280" w:y="204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1(a) - Name of Issuer:</w:t>
      </w:r>
    </w:p>
    <w:p>
      <w:pPr>
        <w:pStyle w:val="Normal"/>
        <w:framePr w:w="3236" w:hAnchor="page" w:vAnchor="page" w:x="4867" w:y="158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Under the Securities Act of 1934</w:t>
      </w:r>
    </w:p>
    <w:p>
      <w:pPr>
        <w:pStyle w:val="Normal"/>
        <w:framePr w:w="1513" w:hAnchor="page" w:vAnchor="page" w:x="5584" w:y="135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Schedule 13G</w:t>
      </w:r>
    </w:p>
    <w:p>
      <w:pPr>
        <w:pStyle w:val="Normal"/>
        <w:framePr w:w="2483" w:hAnchor="page" w:vAnchor="page" w:x="5180" w:y="89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Washington, D.C. 20549</w:t>
      </w:r>
    </w:p>
    <w:p>
      <w:pPr>
        <w:pStyle w:val="Normal"/>
        <w:framePr w:w="4896" w:hAnchor="page" w:vAnchor="page" w:x="4175" w:y="66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EXCHANGE COMMISSION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  <w:sectPr>
          <w:pgSz w:w="12240" w:h="20160"/>
          <w:pgMar w:top="400" w:right="400" w:bottom="400" w:left="400" w:header="720" w:footer="720"/>
          <w:pgNumType w:start="3"/>
          <w:cols w:space="720" w:sep="off"/>
          <w:docGrid w:line-pitch="31680"/>
        </w:sect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7pt;margin-top:1pt;z-index:-16777192;width:598pt;height:1005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13pt;margin-top:579.75pt;z-index:-16777188;width:586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13pt;margin-top:110.6pt;z-index:-16777184;width:105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13pt;margin-top:157.15pt;z-index:-16777180;width:227.2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13pt;margin-top:214.95pt;z-index:-16777176;width:133.9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13pt;margin-top:261.45pt;z-index:-16777172;width:272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13pt;margin-top:319.25pt;z-index:-16777168;width:92.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13pt;margin-top:365.8pt;z-index:-16777164;width:149.1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3pt;margin-top:412.35pt;z-index:-16777160;width:105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3pt;margin-top:458.9pt;z-index:-16777156;width:91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13pt;margin-top:505.4pt;z-index:-16777152;width:78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</w:p>
    <w:p>
      <w:pPr>
        <w:pStyle w:val="Normal"/>
        <w:framePr w:w="4420" w:hAnchor="page" w:vAnchor="page" w:x="4604" w:y="1322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Title:  Head of Global Fund Administration</w:t>
      </w:r>
    </w:p>
    <w:p>
      <w:pPr>
        <w:pStyle w:val="Normal"/>
        <w:framePr w:w="2187" w:hAnchor="page" w:vAnchor="page" w:x="4604" w:y="12983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Name: Ashley Grim</w:t>
      </w:r>
    </w:p>
    <w:p>
      <w:pPr>
        <w:pStyle w:val="Normal"/>
        <w:framePr w:w="2114" w:hAnchor="page" w:vAnchor="page" w:x="4604" w:y="12742"/>
        <w:widowControl w:val="off"/>
        <w:autoSpaceDE w:val="off"/>
        <w:autoSpaceDN w:val="off"/>
        <w:spacing w:before="0" w:after="0" w:line="22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0"/>
          <w:szCs w:val="20"/>
        </w:rPr>
        <w:t>By /s/ Ashley Grim</w:t>
      </w:r>
    </w:p>
    <w:p>
      <w:pPr>
        <w:pStyle w:val="Normal"/>
        <w:framePr w:w="2514" w:hAnchor="page" w:vAnchor="page" w:x="280" w:y="1227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Date:  February 13, 2024</w:t>
      </w:r>
    </w:p>
    <w:p>
      <w:pPr>
        <w:pStyle w:val="Normal"/>
        <w:framePr w:w="918" w:hAnchor="page" w:vAnchor="page" w:x="280" w:y="1180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correct.</w:t>
      </w:r>
    </w:p>
    <w:p>
      <w:pPr>
        <w:pStyle w:val="Normal"/>
        <w:framePr w:w="13480" w:hAnchor="page" w:vAnchor="page" w:x="520" w:y="1158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After reasonable inquiry and to the best of my knowledge and belief, I certify that the information set forth in this statement is true, complete and</w:t>
      </w:r>
    </w:p>
    <w:p>
      <w:pPr>
        <w:pStyle w:val="Normal"/>
        <w:framePr w:w="1102" w:hAnchor="page" w:vAnchor="page" w:x="280" w:y="1111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Signature</w:t>
      </w:r>
    </w:p>
    <w:p>
      <w:pPr>
        <w:pStyle w:val="Normal"/>
        <w:framePr w:w="4772" w:hAnchor="page" w:vAnchor="page" w:x="280" w:y="1065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connection with a nomination under §240.14a-11.</w:t>
      </w:r>
    </w:p>
    <w:p>
      <w:pPr>
        <w:pStyle w:val="Normal"/>
        <w:framePr w:w="13703" w:hAnchor="page" w:vAnchor="page" w:x="280" w:y="1042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securities and were not acquired in connection with or as a participant in any transaction having that purpose or effect, other than activities solely in</w:t>
      </w:r>
    </w:p>
    <w:p>
      <w:pPr>
        <w:pStyle w:val="Normal"/>
        <w:framePr w:w="14071" w:hAnchor="page" w:vAnchor="page" w:x="280" w:y="1019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course of business and were not acquired and are not held for the purpose of or with the effect of changing or influencing the control of the issuer of the</w:t>
      </w:r>
    </w:p>
    <w:p>
      <w:pPr>
        <w:pStyle w:val="Normal"/>
        <w:framePr w:w="13523" w:hAnchor="page" w:vAnchor="page" w:x="520" w:y="997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By signing below I certify that, to the best of my knowledge and belief, the securities referred to above were acquired and are held in the ordinary</w:t>
      </w:r>
    </w:p>
    <w:p>
      <w:pPr>
        <w:pStyle w:val="Normal"/>
        <w:framePr w:w="2336" w:hAnchor="page" w:vAnchor="page" w:x="280" w:y="950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10 - Certification:</w:t>
      </w:r>
    </w:p>
    <w:p>
      <w:pPr>
        <w:pStyle w:val="Normal"/>
        <w:framePr w:w="1564" w:hAnchor="page" w:vAnchor="page" w:x="520" w:y="904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3920" w:hAnchor="page" w:vAnchor="page" w:x="280" w:y="857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9 - Notice of Dissolution of Group:</w:t>
      </w:r>
    </w:p>
    <w:p>
      <w:pPr>
        <w:pStyle w:val="Normal"/>
        <w:framePr w:w="1564" w:hAnchor="page" w:vAnchor="page" w:x="520" w:y="811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6047" w:hAnchor="page" w:vAnchor="page" w:x="280" w:y="764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8 - Identification and Classification of Members of Group:</w:t>
      </w:r>
    </w:p>
    <w:p>
      <w:pPr>
        <w:pStyle w:val="Normal"/>
        <w:framePr w:w="1564" w:hAnchor="page" w:vAnchor="page" w:x="520" w:y="718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Not applicable</w:t>
      </w:r>
    </w:p>
    <w:p>
      <w:pPr>
        <w:pStyle w:val="Normal"/>
        <w:framePr w:w="13196" w:hAnchor="page" w:vAnchor="page" w:x="280" w:y="671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7 - Identification and Classification of the Subsidiary Which Acquired The Security Being Reported on by the Parent Holding Company:</w:t>
      </w:r>
    </w:p>
    <w:p>
      <w:pPr>
        <w:pStyle w:val="Normal"/>
        <w:framePr w:w="7474" w:hAnchor="page" w:vAnchor="page" w:x="520" w:y="6251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No one other person's interest in the securities reported herein is more than 5%.</w:t>
      </w:r>
    </w:p>
    <w:p>
      <w:pPr>
        <w:pStyle w:val="Normal"/>
        <w:framePr w:w="13878" w:hAnchor="page" w:vAnchor="page" w:x="280" w:y="578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accounts, have the right to receive or the power to direct the receipt of dividends from, or the proceeds from the sale of, the securities reported herein.</w:t>
      </w:r>
    </w:p>
    <w:p>
      <w:pPr>
        <w:pStyle w:val="Normal"/>
        <w:framePr w:w="13281" w:hAnchor="page" w:vAnchor="page" w:x="520" w:y="5560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The Vanguard Group, Inc.'s clients, including investment companies registered under the Investment Company Act of 1940 and other managed</w:t>
      </w:r>
    </w:p>
    <w:p>
      <w:pPr>
        <w:pStyle w:val="Normal"/>
        <w:framePr w:w="7275" w:hAnchor="page" w:vAnchor="page" w:x="280" w:y="5095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6 - Ownership of More Than Five Percent on Behalf of Another Person:</w:t>
      </w:r>
    </w:p>
    <w:p>
      <w:pPr>
        <w:pStyle w:val="Normal"/>
        <w:framePr w:w="5333" w:hAnchor="page" w:vAnchor="page" w:x="280" w:y="4623"/>
        <w:widowControl w:val="off"/>
        <w:autoSpaceDE w:val="off"/>
        <w:autoSpaceDN w:val="off"/>
        <w:spacing w:before="0" w:after="0" w:line="221" w:lineRule="exact"/>
        <w:ind w:left="0" w:right="0" w:first-line="0"/>
        <w:jc w:val="left"/>
        <w:rPr>
          <w:rFonts w:ascii="DejaVuSans" w:hAnsi="DejaVuSans" w:fareast="DejaVuSans" w:cs="DejaVuSans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percent of the class of securities, check the following </w:t>
      </w:r>
      <w:r>
        <w:rPr>
          <w:rFonts w:ascii="DejaVuSans" w:hAnsi="DejaVuSans" w:fareast="DejaVuSans" w:cs="DejaVuSans"/>
          <w:color w:val="000000"/>
          <w:w w:val="100"/>
          <w:sz w:val="19"/>
          <w:szCs w:val="19"/>
        </w:rPr>
        <w:t>☐</w:t>
      </w:r>
    </w:p>
    <w:p>
      <w:pPr>
        <w:pStyle w:val="Normal"/>
        <w:framePr w:w="13555" w:hAnchor="page" w:vAnchor="page" w:x="520" w:y="438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If this statement is being filed to report the fact that as of the date hereof the reporting person has ceased to be the beneficial owner of more than 5</w:t>
      </w:r>
    </w:p>
    <w:p>
      <w:pPr>
        <w:pStyle w:val="Normal"/>
        <w:framePr w:w="5199" w:hAnchor="page" w:vAnchor="page" w:x="280" w:y="3924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Item 5 - Ownership of Five Percent or Less of a Class:</w:t>
      </w:r>
    </w:p>
    <w:p>
      <w:pPr>
        <w:pStyle w:val="Normal"/>
        <w:framePr w:w="10882" w:hAnchor="page" w:vAnchor="page" w:x="520" w:y="3459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The responses to questions 5 through 9 and 11 on the cover page(s) are incorporated by reference into this Item 4.  </w:t>
      </w:r>
    </w:p>
    <w:p>
      <w:pPr>
        <w:pStyle w:val="Normal"/>
        <w:framePr w:w="1279" w:hAnchor="page" w:vAnchor="page" w:x="280" w:y="2993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Comments:</w:t>
      </w:r>
    </w:p>
    <w:p>
      <w:pPr>
        <w:pStyle w:val="Normal"/>
        <w:framePr w:w="5743" w:hAnchor="page" w:vAnchor="page" w:x="520" w:y="2528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(iv)  shared power to dispose or to direct the disposition of:  </w:t>
      </w:r>
    </w:p>
    <w:p>
      <w:pPr>
        <w:pStyle w:val="Normal"/>
        <w:framePr w:w="5775" w:hAnchor="page" w:vAnchor="page" w:x="520" w:y="206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(iii)  sole power to dispose of or to direct the disposition of:  </w:t>
      </w:r>
    </w:p>
    <w:p>
      <w:pPr>
        <w:pStyle w:val="Normal"/>
        <w:framePr w:w="4211" w:hAnchor="page" w:vAnchor="page" w:x="520" w:y="1597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(ii)  shared power to vote or direct to vote:  </w:t>
      </w:r>
    </w:p>
    <w:p>
      <w:pPr>
        <w:pStyle w:val="Normal"/>
        <w:framePr w:w="3919" w:hAnchor="page" w:vAnchor="page" w:x="520" w:y="1132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 xml:space="preserve">(i)  sole power to vote or direct to vote:  </w:t>
      </w:r>
    </w:p>
    <w:p>
      <w:pPr>
        <w:pStyle w:val="Normal"/>
        <w:framePr w:w="4875" w:hAnchor="page" w:vAnchor="page" w:x="520" w:y="666"/>
        <w:widowControl w:val="off"/>
        <w:autoSpaceDE w:val="off"/>
        <w:autoSpaceDN w:val="off"/>
        <w:spacing w:before="0" w:after="0" w:line="210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19"/>
          <w:szCs w:val="19"/>
        </w:rPr>
        <w:t>(c)  Number of shares as to which such person has: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7pt;margin-top:1pt;z-index:-16777148;width:598pt;height:682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3pt;margin-top:157.9pt;z-index:-16777144;width:4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3pt;margin-top:204.4pt;z-index:-16777140;width:209.1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13pt;margin-top:262.95pt;z-index:-16777136;width:295.6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3pt;margin-top:344.05pt;z-index:-16777132;width:542.3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3pt;margin-top:390.6pt;z-index:-16777128;width:244.4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3pt;margin-top:437.1pt;z-index:-16777124;width:155.8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13pt;margin-top:483.65pt;z-index:-16777120;width:89.85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3pt;margin-top:563.95pt;z-index:-16777116;width:38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240.85pt;margin-top:645.8pt;z-index:-16777112;width:68.4pt;height: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</w:p>
    <w:sectPr>
      <w:pgSz w:w="12240" w:h="20160"/>
      <w:pgMar w:top="400" w:right="400" w:bottom="400" w:left="400" w:header="720" w:footer="720"/>
      <w:pgNumType w:start="4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0b244c23-0000-0000-0000-000000000000}"/>
  </w:font>
  <w:font w:name="DejaVuSans">
    <w:panose-1>"020b0603030804020204"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be00ae22-0000-0000-0000-000000000000}"/>
  </w:font>
  <w:font w:name="TimesNewRomanPS-BoldMT">
    <w:panose-1>"02020803070505020304"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caef09bc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1" Target="media/image11.png" Type="http://schemas.openxmlformats.org/officeDocument/2006/relationships/image"/><Relationship Id="rId12" Target="media/image12.png" Type="http://schemas.openxmlformats.org/officeDocument/2006/relationships/image"/><Relationship Id="rId13" Target="media/image13.png" Type="http://schemas.openxmlformats.org/officeDocument/2006/relationships/image"/><Relationship Id="rId14" Target="media/image14.png" Type="http://schemas.openxmlformats.org/officeDocument/2006/relationships/image"/><Relationship Id="rId15" Target="media/image15.png" Type="http://schemas.openxmlformats.org/officeDocument/2006/relationships/image"/><Relationship Id="rId16" Target="media/image16.png" Type="http://schemas.openxmlformats.org/officeDocument/2006/relationships/image"/><Relationship Id="rId17" Target="media/image17.png" Type="http://schemas.openxmlformats.org/officeDocument/2006/relationships/image"/><Relationship Id="rId18" Target="media/image18.png" Type="http://schemas.openxmlformats.org/officeDocument/2006/relationships/image"/><Relationship Id="rId19" Target="media/image1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1" Target="media/image21.png" Type="http://schemas.openxmlformats.org/officeDocument/2006/relationships/image"/><Relationship Id="rId22" Target="media/image22.png" Type="http://schemas.openxmlformats.org/officeDocument/2006/relationships/image"/><Relationship Id="rId23" Target="media/image23.png" Type="http://schemas.openxmlformats.org/officeDocument/2006/relationships/image"/><Relationship Id="rId24" Target="media/image24.png" Type="http://schemas.openxmlformats.org/officeDocument/2006/relationships/image"/><Relationship Id="rId25" Target="media/image25.png" Type="http://schemas.openxmlformats.org/officeDocument/2006/relationships/image"/><Relationship Id="rId26" Target="media/image26.png" Type="http://schemas.openxmlformats.org/officeDocument/2006/relationships/image"/><Relationship Id="rId27" Target="styles.xml" Type="http://schemas.openxmlformats.org/officeDocument/2006/relationships/styles"/><Relationship Id="rId28" Target="fontTable.xml" Type="http://schemas.openxmlformats.org/officeDocument/2006/relationships/fontTable"/><Relationship Id="rId29" Target="settings.xml" Type="http://schemas.openxmlformats.org/officeDocument/2006/relationships/settings"/><Relationship Id="rId3" Target="media/image3.png" Type="http://schemas.openxmlformats.org/officeDocument/2006/relationships/image"/><Relationship Id="rId30" Target="webSettings.xml" Type="http://schemas.openxmlformats.org/officeDocument/2006/relationships/webSettings"/><Relationship Id="rId4" Target="media/image4.png" Type="http://schemas.openxmlformats.org/officeDocument/2006/relationships/image"/><Relationship Id="rId5" Target="media/image5.png" Type="http://schemas.openxmlformats.org/officeDocument/2006/relationships/image"/><Relationship Id="rId6" Target="media/image6.png" Type="http://schemas.openxmlformats.org/officeDocument/2006/relationships/image"/><Relationship Id="rId7" Target="media/image7.png" Type="http://schemas.openxmlformats.org/officeDocument/2006/relationships/image"/><Relationship Id="rId8" Target="media/image8.png" Type="http://schemas.openxmlformats.org/officeDocument/2006/relationships/image"/><Relationship Id="rId9" Target="media/image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4</Pages>
  <Words>804</Words>
  <Characters>3972</Characters>
  <Application>e-iceblue</Application>
  <DocSecurity>0</DocSecurity>
  <Lines>103</Lines>
  <Paragraphs>103</Paragraphs>
  <ScaleCrop>false</ScaleCrop>
  <Company>e-iceblue</Company>
  <LinksUpToDate>false</LinksUpToDate>
  <CharactersWithSpaces>4709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2024-02-13T22:42:21Z</dcterms:created>
  <dc:creator>root</dc:creator>
  <cp:lastModifiedBy>root</cp:lastModifiedBy>
  <dcterms:modified xsi:type="dcterms:W3CDTF">2024-02-13T22:42:21Z</dcterms:modified>
  <cp:revision>1</cp:revision>
</cp:coreProperties>
</file>