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0" w:hAnchor="page" w:vAnchor="page" w:x="280" w:y="129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DejaVuSans-LOQVF" w:hAnsi="DejaVuSans-LOQVF" w:fareast="DejaVuSans-LOQVF" w:cs="DejaVuSans-LOQVF"/>
          <w:color w:val="000000"/>
          <w:w w:val="100"/>
          <w:sz w:val="20"/>
          <w:szCs w:val="20"/>
        </w:rPr>
        <w:t>☐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Rule 13q-1 under the Securities Exchange Act (17 CFR 240.13q-1) for the fiscal year ended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___________________</w:t>
      </w:r>
    </w:p>
    <w:p>
      <w:pPr>
        <w:pStyle w:val="Normal"/>
        <w:framePr w:w="2368" w:hAnchor="page" w:vAnchor="page" w:x="280" w:y="124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December 31, 2024</w:t>
      </w:r>
    </w:p>
    <w:p>
      <w:pPr>
        <w:pStyle w:val="Normal"/>
        <w:framePr w:w="12177" w:hAnchor="page" w:vAnchor="page" w:x="280" w:y="1210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DejaVuSans" w:hAnsi="DejaVuSans" w:fareast="DejaVuSans" w:cs="DejaVuSans"/>
          <w:color w:val="000000"/>
          <w:w w:val="100"/>
          <w:sz w:val="22"/>
          <w:szCs w:val="22"/>
        </w:rPr>
        <w:t>☑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Rule 13p-1 under the Securities Exchange Act (17 CFR 240.13p-1) for the reporting period from January 1 to</w:t>
      </w:r>
    </w:p>
    <w:p>
      <w:pPr>
        <w:pStyle w:val="Normal"/>
        <w:framePr w:w="3995" w:hAnchor="page" w:vAnchor="page" w:x="280" w:y="115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information in this form applies:</w:t>
      </w:r>
    </w:p>
    <w:p>
      <w:pPr>
        <w:pStyle w:val="Normal"/>
        <w:framePr w:w="12996" w:hAnchor="page" w:vAnchor="page" w:x="280" w:y="112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Check the appropriate box to indicate the rule pursuant to which this form is being filed, and provide the period to which</w:t>
      </w:r>
    </w:p>
    <w:p>
      <w:pPr>
        <w:pStyle w:val="Normal"/>
        <w:framePr w:w="11624" w:hAnchor="page" w:vAnchor="page" w:x="921" w:y="109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(Name and telephone number, including area code, of the person to contact in connection with this report.)</w:t>
      </w:r>
    </w:p>
    <w:p>
      <w:pPr>
        <w:pStyle w:val="Normal"/>
        <w:framePr w:w="1897" w:hAnchor="page" w:vAnchor="page" w:x="5368" w:y="106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(281) 591-4000</w:t>
      </w:r>
    </w:p>
    <w:p>
      <w:pPr>
        <w:pStyle w:val="Normal"/>
        <w:framePr w:w="5756" w:hAnchor="page" w:vAnchor="page" w:x="3614" w:y="103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Legal Director, Corporate - Global Sustainability</w:t>
      </w:r>
    </w:p>
    <w:p>
      <w:pPr>
        <w:pStyle w:val="Normal"/>
        <w:framePr w:w="1829" w:hAnchor="page" w:vAnchor="page" w:x="5398" w:y="101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Davis Stewart</w:t>
      </w:r>
    </w:p>
    <w:p>
      <w:pPr>
        <w:pStyle w:val="Normal"/>
        <w:framePr w:w="1071" w:hAnchor="page" w:vAnchor="page" w:x="1772" w:y="97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Offices)</w:t>
      </w:r>
    </w:p>
    <w:p>
      <w:pPr>
        <w:pStyle w:val="Normal"/>
        <w:framePr w:w="3592" w:hAnchor="page" w:vAnchor="page" w:x="627" w:y="95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(Address of Principal Executive</w:t>
      </w:r>
    </w:p>
    <w:p>
      <w:pPr>
        <w:pStyle w:val="Normal"/>
        <w:framePr w:w="1385" w:hAnchor="page" w:vAnchor="page" w:x="9571" w:y="95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(Zip Code)</w:t>
      </w:r>
    </w:p>
    <w:p>
      <w:pPr>
        <w:pStyle w:val="Normal"/>
        <w:framePr w:w="3107" w:hAnchor="page" w:vAnchor="page" w:x="847" w:y="92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United States of America</w:t>
      </w:r>
    </w:p>
    <w:p>
      <w:pPr>
        <w:pStyle w:val="Normal"/>
        <w:framePr w:w="915" w:hAnchor="page" w:vAnchor="page" w:x="9785" w:y="92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77044</w:t>
      </w:r>
    </w:p>
    <w:p>
      <w:pPr>
        <w:pStyle w:val="Normal"/>
        <w:framePr w:w="2161" w:hAnchor="page" w:vAnchor="page" w:x="1277" w:y="89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 Houston, Texas </w:t>
      </w:r>
    </w:p>
    <w:p>
      <w:pPr>
        <w:pStyle w:val="Normal"/>
        <w:framePr w:w="2273" w:hAnchor="page" w:vAnchor="page" w:x="1226" w:y="866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One Subsea Lane</w:t>
      </w:r>
    </w:p>
    <w:p>
      <w:pPr>
        <w:pStyle w:val="Normal"/>
        <w:framePr w:w="3659" w:hAnchor="page" w:vAnchor="page" w:x="566" w:y="78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incorporation or organization)</w:t>
      </w:r>
    </w:p>
    <w:p>
      <w:pPr>
        <w:pStyle w:val="Normal"/>
        <w:framePr w:w="2125" w:hAnchor="page" w:vAnchor="page" w:x="9272" w:y="78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Identification No.)</w:t>
      </w:r>
    </w:p>
    <w:p>
      <w:pPr>
        <w:pStyle w:val="Normal"/>
        <w:framePr w:w="3067" w:hAnchor="page" w:vAnchor="page" w:x="835" w:y="76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(State or other jurisdiction </w:t>
      </w:r>
    </w:p>
    <w:p>
      <w:pPr>
        <w:pStyle w:val="Normal"/>
        <w:framePr w:w="3120" w:hAnchor="page" w:vAnchor="page" w:x="4819" w:y="76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(Commission File Number)</w:t>
      </w:r>
    </w:p>
    <w:p>
      <w:pPr>
        <w:pStyle w:val="Normal"/>
        <w:framePr w:w="2085" w:hAnchor="page" w:vAnchor="page" w:x="9291" w:y="76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(I.R.S. Employer </w:t>
      </w:r>
    </w:p>
    <w:p>
      <w:pPr>
        <w:pStyle w:val="Normal"/>
        <w:framePr w:w="2111" w:hAnchor="page" w:vAnchor="page" w:x="1270" w:y="73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United Kingdom</w:t>
      </w:r>
    </w:p>
    <w:p>
      <w:pPr>
        <w:pStyle w:val="Normal"/>
        <w:framePr w:w="1399" w:hAnchor="page" w:vAnchor="page" w:x="5601" w:y="73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001-37983</w:t>
      </w:r>
    </w:p>
    <w:p>
      <w:pPr>
        <w:pStyle w:val="Normal"/>
        <w:framePr w:w="1534" w:hAnchor="page" w:vAnchor="page" w:x="9541" w:y="73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98-1283037</w:t>
      </w:r>
    </w:p>
    <w:p>
      <w:pPr>
        <w:pStyle w:val="Normal"/>
        <w:framePr w:w="2800" w:hAnchor="page" w:vAnchor="page" w:x="4957" w:y="67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5757" w:hAnchor="page" w:vAnchor="page" w:x="3613" w:y="61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(Exact name of registrant as specified in its charter)</w:t>
      </w:r>
    </w:p>
    <w:p>
      <w:pPr>
        <w:pStyle w:val="Normal"/>
        <w:framePr w:w="2093" w:hAnchor="page" w:vAnchor="page" w:x="5279" w:y="57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TechnipFMC plc</w:t>
      </w:r>
    </w:p>
    <w:p>
      <w:pPr>
        <w:pStyle w:val="Normal"/>
        <w:framePr w:w="4572" w:hAnchor="page" w:vAnchor="page" w:x="4152" w:y="48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SPECIALIZED DISCLOSURE REPORT</w:t>
      </w:r>
    </w:p>
    <w:p>
      <w:pPr>
        <w:pStyle w:val="Normal"/>
        <w:framePr w:w="2800" w:hAnchor="page" w:vAnchor="page" w:x="4957" w:y="42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1358" w:hAnchor="page" w:vAnchor="page" w:x="5613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FORM SD</w:t>
      </w:r>
    </w:p>
    <w:p>
      <w:pPr>
        <w:pStyle w:val="Normal"/>
        <w:framePr w:w="2800" w:hAnchor="page" w:vAnchor="page" w:x="4957" w:y="36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2842" w:hAnchor="page" w:vAnchor="page" w:x="4938" w:y="29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Washington, DC 20549</w:t>
      </w:r>
    </w:p>
    <w:p>
      <w:pPr>
        <w:pStyle w:val="Normal"/>
        <w:framePr w:w="5379" w:hAnchor="page" w:vAnchor="page" w:x="3785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SECURITIES AND EXCHANGE COMMISSION</w:t>
      </w:r>
    </w:p>
    <w:p>
      <w:pPr>
        <w:pStyle w:val="Normal"/>
        <w:framePr w:w="2129" w:hAnchor="page" w:vAnchor="page" w:x="5262" w:y="24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68.9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69.6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68.9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68.9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90.3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6.85pt;margin-top:191.65pt;z-index:-16777188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6.85pt;margin-top:222.45pt;z-index:-16777184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46.85pt;margin-top:348.55pt;z-index:-16777180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669.8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72.05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.5pt;margin-top:669.8pt;z-index:-167771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5.5pt;margin-top:672.05pt;z-index:-16777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8.25pt;margin-top:669.8pt;z-index:-16777160;width:57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8.25pt;margin-top:672.05pt;z-index:-16777156;width:57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669.8pt;z-index:-167771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672.05pt;z-index:-167771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3699" w:hAnchor="page" w:vAnchor="page" w:x="280" w:y="80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1.01     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Conflict Minerals Report</w:t>
      </w:r>
    </w:p>
    <w:p>
      <w:pPr>
        <w:pStyle w:val="Normal"/>
        <w:framePr w:w="4022" w:hAnchor="page" w:vAnchor="page" w:x="280" w:y="75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Exhibit No.     Description of Exhibit</w:t>
      </w:r>
    </w:p>
    <w:p>
      <w:pPr>
        <w:pStyle w:val="Normal"/>
        <w:framePr w:w="2556" w:hAnchor="page" w:vAnchor="page" w:x="280" w:y="701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3.01     Exhibits</w:t>
      </w:r>
    </w:p>
    <w:p>
      <w:pPr>
        <w:pStyle w:val="Normal"/>
        <w:framePr w:w="2529" w:hAnchor="page" w:vAnchor="page" w:x="280" w:y="65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Section 3 – Exhibits</w:t>
      </w:r>
    </w:p>
    <w:p>
      <w:pPr>
        <w:pStyle w:val="Normal"/>
        <w:framePr w:w="5618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TechnipFMC’s CMR is filed as Exhibit 1.01 hereto.</w:t>
      </w:r>
    </w:p>
    <w:p>
      <w:pPr>
        <w:pStyle w:val="Normal"/>
        <w:framePr w:w="2152" w:hAnchor="page" w:vAnchor="page" w:x="280" w:y="530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1.02 Exhibit</w:t>
      </w:r>
    </w:p>
    <w:p>
      <w:pPr>
        <w:pStyle w:val="Normal"/>
        <w:framePr w:w="11709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A copy of this Form SD and CMR are publicly available on the Company's website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9188" w:hAnchor="page" w:vAnchor="page" w:x="280" w:y="39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determined that these minerals may not have come from recycled or scrap sources.</w:t>
      </w:r>
    </w:p>
    <w:p>
      <w:pPr>
        <w:pStyle w:val="Normal"/>
        <w:framePr w:w="13077" w:hAnchor="page" w:vAnchor="page" w:x="280" w:y="37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Congo or an adjoining country and are necessary to the functionality or production of such product(s). TechnipFMC</w:t>
      </w:r>
    </w:p>
    <w:p>
      <w:pPr>
        <w:pStyle w:val="Normal"/>
        <w:framePr w:w="13081" w:hAnchor="page" w:vAnchor="page" w:x="280" w:y="34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or contracts to manufacture may contain tin, tungsten, tantalum, and/or gold originating in the Democratic Republic of</w:t>
      </w:r>
    </w:p>
    <w:p>
      <w:pPr>
        <w:pStyle w:val="Normal"/>
        <w:framePr w:w="13079" w:hAnchor="page" w:vAnchor="page" w:x="280" w:y="32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December 31, 2024 (the “CMR”), evaluated its product lines and determined that certain products that it manufactures</w:t>
      </w:r>
    </w:p>
    <w:p>
      <w:pPr>
        <w:pStyle w:val="Normal"/>
        <w:framePr w:w="13088" w:hAnchor="page" w:vAnchor="page" w:x="280" w:y="29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diligence,  as  further  outlined  in  the  Conflict  Minerals  Report  attached  hereto  as  Exhibit  1.01  for  the  year  ended</w:t>
      </w:r>
    </w:p>
    <w:p>
      <w:pPr>
        <w:pStyle w:val="Normal"/>
        <w:framePr w:w="13087" w:hAnchor="page" w:vAnchor="page" w:x="280" w:y="27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plc (the “Company” and “TechnipFMC”), through a good faith, reasonable country of origin inquiry and subsequent due</w:t>
      </w:r>
    </w:p>
    <w:p>
      <w:pPr>
        <w:pStyle w:val="Normal"/>
        <w:framePr w:w="13076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 accordance with the requirements of Rule 13p-1 of the Securities Exchange Act of 1934, as amended, TechnipFMC</w:t>
      </w:r>
    </w:p>
    <w:p>
      <w:pPr>
        <w:pStyle w:val="Normal"/>
        <w:framePr w:w="6214" w:hAnchor="page" w:vAnchor="page" w:x="280" w:y="20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1.01     Conflict Minerals Disclosure and Report</w:t>
      </w:r>
    </w:p>
    <w:p>
      <w:pPr>
        <w:pStyle w:val="Normal"/>
        <w:framePr w:w="4842" w:hAnchor="page" w:vAnchor="page" w:x="280" w:y="150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Section 1 – Conflict Minerals Disclosure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539.2pt;z-index:-167771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539.95pt;z-index:-167771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6.25pt;margin-top:539.2pt;z-index:-167771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539.2pt;z-index:-167771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27.85pt;margin-top:233.7pt;z-index:-16777124;width:10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386.05pt;z-index:-16777120;width:55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81.5pt;margin-top:386.05pt;z-index:-16777116;width:10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.75pt;margin-top:411.6pt;z-index:-16777112;width:119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2.75pt;margin-top:411.6pt;z-index:-16777108;width:119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2535" w:hAnchor="page" w:vAnchor="page" w:x="4188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 and Secretary</w:t>
      </w:r>
    </w:p>
    <w:p>
      <w:pPr>
        <w:pStyle w:val="Normal"/>
        <w:framePr w:w="5654" w:hAnchor="page" w:vAnchor="page" w:x="4188" w:y="46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Title: Executive Vice President, Chief Legal Officer </w:t>
      </w:r>
    </w:p>
    <w:p>
      <w:pPr>
        <w:pStyle w:val="Normal"/>
        <w:framePr w:w="2336" w:hAnchor="page" w:vAnchor="page" w:x="30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Date: May 29, 2025</w:t>
      </w:r>
    </w:p>
    <w:p>
      <w:pPr>
        <w:pStyle w:val="Normal"/>
        <w:framePr w:w="2709" w:hAnchor="page" w:vAnchor="page" w:x="4188" w:y="43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Cristina Aalders</w:t>
      </w:r>
    </w:p>
    <w:p>
      <w:pPr>
        <w:pStyle w:val="Normal"/>
        <w:framePr w:w="2669" w:hAnchor="page" w:vAnchor="page" w:x="4188" w:y="4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Cristina Aalders</w:t>
      </w:r>
    </w:p>
    <w:p>
      <w:pPr>
        <w:pStyle w:val="Normal"/>
        <w:framePr w:w="2093" w:hAnchor="page" w:vAnchor="page" w:x="4188" w:y="34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TechnipFMC plc</w:t>
      </w:r>
    </w:p>
    <w:p>
      <w:pPr>
        <w:pStyle w:val="Normal"/>
        <w:framePr w:w="7252" w:hAnchor="page" w:vAnchor="page" w:x="280" w:y="22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signed on its behalf by the undersigned hereunto duly authorized.</w:t>
      </w:r>
    </w:p>
    <w:p>
      <w:pPr>
        <w:pStyle w:val="Normal"/>
        <w:framePr w:w="12714" w:hAnchor="page" w:vAnchor="page" w:x="280" w:y="20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Pursuant to the requirements of the Securities Exchange Act of 1934, the registrant has duly caused this report to be</w:t>
      </w:r>
    </w:p>
    <w:p>
      <w:pPr>
        <w:pStyle w:val="Normal"/>
        <w:framePr w:w="1811" w:hAnchor="page" w:vAnchor="page" w:x="5407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SIGNATURES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07.4pt;margin-top:214.2pt;z-index:-16777100;width:30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1937" w:hAnchor="page" w:vAnchor="page" w:x="280" w:y="130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 TechnipFMC.</w:t>
      </w:r>
    </w:p>
    <w:p>
      <w:pPr>
        <w:pStyle w:val="Normal"/>
        <w:framePr w:w="13074" w:hAnchor="page" w:vAnchor="page" w:x="280" w:y="1284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those suppliers regarding the presence and sourcing of 3TG used in the products and components they have supplied</w:t>
      </w:r>
    </w:p>
    <w:p>
      <w:pPr>
        <w:pStyle w:val="Normal"/>
        <w:framePr w:w="13080" w:hAnchor="page" w:vAnchor="page" w:x="280" w:y="125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TechnipFMC’s  influence  over  the  manufacturing  process  and  potential  use  of  3TG;  and  (3)  collect  information  from</w:t>
      </w:r>
    </w:p>
    <w:p>
      <w:pPr>
        <w:pStyle w:val="Normal"/>
        <w:framePr w:w="13082" w:hAnchor="page" w:vAnchor="page" w:x="280" w:y="123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origin inquiry (“RCOI”) to establish a list of Tier 1 Suppliers that are in-scope for regulatory reporting purposes based on</w:t>
      </w:r>
    </w:p>
    <w:p>
      <w:pPr>
        <w:pStyle w:val="Normal"/>
        <w:framePr w:w="13086" w:hAnchor="page" w:vAnchor="page" w:x="280" w:y="120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those offerings that are in-scope for the purposes of regulatory reporting; (2) conduct a good faith, reasonable country of</w:t>
      </w:r>
    </w:p>
    <w:p>
      <w:pPr>
        <w:pStyle w:val="Normal"/>
        <w:framePr w:w="13083" w:hAnchor="page" w:vAnchor="page" w:x="280" w:y="117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With the assistance of the third-party vendor Source Intelligence (“SI”), we (1) filter our product offerings to identify</w:t>
      </w:r>
    </w:p>
    <w:p>
      <w:pPr>
        <w:pStyle w:val="Normal"/>
        <w:framePr w:w="6794" w:hAnchor="page" w:vAnchor="page" w:x="280" w:y="1125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accurate chain of custody information to inform this reporting.</w:t>
      </w:r>
    </w:p>
    <w:p>
      <w:pPr>
        <w:pStyle w:val="Normal"/>
        <w:framePr w:w="13088" w:hAnchor="page" w:vAnchor="page" w:x="280" w:y="109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those  Tier  1  Suppliers  to  implement  policies  and  procedures  comparable  to  ours  in  order  to  obtain  thorough  and</w:t>
      </w:r>
    </w:p>
    <w:p>
      <w:pPr>
        <w:pStyle w:val="Normal"/>
        <w:framePr w:w="13080" w:hAnchor="page" w:vAnchor="page" w:x="280" w:y="107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minerals in both the raw materials and parts that we purchase to use in the manufacture of our products. We expect</w:t>
      </w:r>
    </w:p>
    <w:p>
      <w:pPr>
        <w:pStyle w:val="Normal"/>
        <w:framePr w:w="13081" w:hAnchor="page" w:vAnchor="page" w:x="280" w:y="104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suppliers that deliver directly to TechnipFMC (the “Tier 1 Suppliers”) to provide input regarding the source of conflict</w:t>
      </w:r>
    </w:p>
    <w:p>
      <w:pPr>
        <w:pStyle w:val="Normal"/>
        <w:framePr w:w="13074" w:hAnchor="page" w:vAnchor="page" w:x="280" w:y="101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is a global company with a complex and multi-tiered supply chain. Because of this complexity, we rely on</w:t>
      </w:r>
    </w:p>
    <w:p>
      <w:pPr>
        <w:pStyle w:val="Normal"/>
        <w:framePr w:w="4929" w:hAnchor="page" w:vAnchor="page" w:x="280" w:y="96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2.   Reasonable Country of Origin Inquiry</w:t>
      </w:r>
    </w:p>
    <w:p>
      <w:pPr>
        <w:pStyle w:val="Normal"/>
        <w:framePr w:w="3699" w:hAnchor="page" w:vAnchor="page" w:x="280" w:y="91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services, and umbilical systems.</w:t>
      </w:r>
    </w:p>
    <w:p>
      <w:pPr>
        <w:pStyle w:val="Normal"/>
        <w:framePr w:w="13074" w:hAnchor="page" w:vAnchor="page" w:x="280" w:y="88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solutions,  remotely  operating  vehicle  systems,  manipulator  systems,  subsea  control   systems,  fracturing  flowback</w:t>
      </w:r>
    </w:p>
    <w:p>
      <w:pPr>
        <w:pStyle w:val="Normal"/>
        <w:framePr w:w="13080" w:hAnchor="page" w:vAnchor="page" w:x="280" w:y="85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processing  systems,  surface   wellhead  production  systems,  high  pressure   fluid  control  equipment,  measurement</w:t>
      </w:r>
    </w:p>
    <w:p>
      <w:pPr>
        <w:pStyle w:val="Normal"/>
        <w:framePr w:w="13081" w:hAnchor="page" w:vAnchor="page" w:x="280" w:y="83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functionality or production of such product(s). These products include, but are not limited to, subsea production and</w:t>
      </w:r>
    </w:p>
    <w:p>
      <w:pPr>
        <w:pStyle w:val="Normal"/>
        <w:framePr w:w="13075" w:hAnchor="page" w:vAnchor="page" w:x="280" w:y="806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manufacture contain tin, tantalum, tungsten, and/or gold (collectively, “3TG”) and that such 3TG are necessary to the</w:t>
      </w:r>
    </w:p>
    <w:p>
      <w:pPr>
        <w:pStyle w:val="Normal"/>
        <w:framePr w:w="13085" w:hAnchor="page" w:vAnchor="page" w:x="280" w:y="77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After  evaluating  our  product  lines,  we  have  determined  that  certain  products  that  we  manufacture  or  contract  to</w:t>
      </w:r>
    </w:p>
    <w:p>
      <w:pPr>
        <w:pStyle w:val="Normal"/>
        <w:framePr w:w="11463" w:hAnchor="page" w:vAnchor="page" w:x="280" w:y="727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energy industry with our pioneering integrated ecosystems, technology leadership, and digital innovation.</w:t>
      </w:r>
    </w:p>
    <w:p>
      <w:pPr>
        <w:pStyle w:val="Normal"/>
        <w:framePr w:w="13077" w:hAnchor="page" w:vAnchor="page" w:x="280" w:y="70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Organized  in  two  business  segments—Subsea  and  Surface  Technologies—we  will  continue  driving  change  in  the</w:t>
      </w:r>
    </w:p>
    <w:p>
      <w:pPr>
        <w:pStyle w:val="Normal"/>
        <w:framePr w:w="6363" w:hAnchor="page" w:vAnchor="page" w:x="280" w:y="64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intensity and supporting their energy transition ambitions.</w:t>
      </w:r>
    </w:p>
    <w:p>
      <w:pPr>
        <w:pStyle w:val="Normal"/>
        <w:framePr w:w="13080" w:hAnchor="page" w:vAnchor="page" w:x="280" w:y="62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our clients’ project economics, helping them unlock new possibilities to develop energy resources while reducing carbon</w:t>
      </w:r>
    </w:p>
    <w:p>
      <w:pPr>
        <w:pStyle w:val="Normal"/>
        <w:framePr w:w="13088" w:hAnchor="page" w:vAnchor="page" w:x="280" w:y="59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projects, products, and services. With our proprietary technologies and comprehensive solutions, we are transforming</w:t>
      </w:r>
    </w:p>
    <w:p>
      <w:pPr>
        <w:pStyle w:val="Normal"/>
        <w:framePr w:w="13078" w:hAnchor="page" w:vAnchor="page" w:x="280" w:y="56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is a leading technology provider to the traditional and new energy industries, delivering fully integrated</w:t>
      </w:r>
    </w:p>
    <w:p>
      <w:pPr>
        <w:pStyle w:val="Normal"/>
        <w:framePr w:w="5314" w:hAnchor="page" w:vAnchor="page" w:x="280" w:y="51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headquarters in Houston, Texas, United States.</w:t>
      </w:r>
    </w:p>
    <w:p>
      <w:pPr>
        <w:pStyle w:val="Normal"/>
        <w:framePr w:w="13075" w:hAnchor="page" w:vAnchor="page" w:x="280" w:y="488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Hadrian House, Wincomblee Road, Newcastle Upon Tyne, NE6 3PL, United Kingdom. The Company has operational</w:t>
      </w:r>
    </w:p>
    <w:p>
      <w:pPr>
        <w:pStyle w:val="Normal"/>
        <w:framePr w:w="13078" w:hAnchor="page" w:vAnchor="page" w:x="280" w:y="46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organized  under  the  laws  of  England  and  Wales,  with  registered  number  09909709,  and  with  registered  office  at</w:t>
      </w:r>
    </w:p>
    <w:p>
      <w:pPr>
        <w:pStyle w:val="Normal"/>
        <w:framePr w:w="13081" w:hAnchor="page" w:vAnchor="page" w:x="280" w:y="43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 plc  (the  “Company,”  “TechnipFMC,”   “we,”  and  “our”)  is  a  public  limited   company  incorporated  and</w:t>
      </w:r>
    </w:p>
    <w:p>
      <w:pPr>
        <w:pStyle w:val="Normal"/>
        <w:framePr w:w="6462" w:hAnchor="page" w:vAnchor="page" w:x="280" w:y="38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1.   Company Overview and Applicability of Rule 13p-1</w:t>
      </w:r>
    </w:p>
    <w:p>
      <w:pPr>
        <w:pStyle w:val="Normal"/>
        <w:framePr w:w="4628" w:hAnchor="page" w:vAnchor="page" w:x="4127" w:y="30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for the Year Ended December 31, 2024</w:t>
      </w:r>
    </w:p>
    <w:p>
      <w:pPr>
        <w:pStyle w:val="Normal"/>
        <w:framePr w:w="3039" w:hAnchor="page" w:vAnchor="page" w:x="4849" w:y="27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Conflict Minerals Report</w:t>
      </w:r>
    </w:p>
    <w:p>
      <w:pPr>
        <w:pStyle w:val="Normal"/>
        <w:framePr w:w="2093" w:hAnchor="page" w:vAnchor="page" w:x="5279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TechnipFMC plc</w:t>
      </w:r>
    </w:p>
    <w:p>
      <w:pPr>
        <w:pStyle w:val="Normal"/>
        <w:framePr w:w="1587" w:hAnchor="page" w:vAnchor="page" w:x="10737" w:y="167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Exhibit 1.01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759.15pt;z-index:-167770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759.9pt;z-index:-167770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6.25pt;margin-top:759.15pt;z-index:-167770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759.15pt;z-index:-167770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7556" w:hAnchor="page" w:vAnchor="page" w:x="280" w:y="27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SEC Division of Corporation Finance’s April 7, 2017, no action relief.</w:t>
      </w:r>
    </w:p>
    <w:p>
      <w:pPr>
        <w:pStyle w:val="Normal"/>
        <w:framePr w:w="13083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This Conflict Minerals Report does not provide disclosure under paragraph (c) of Item 1.01 of Form SD pursuant to the</w:t>
      </w:r>
    </w:p>
    <w:p>
      <w:pPr>
        <w:pStyle w:val="Normal"/>
        <w:framePr w:w="12820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the Congo or its adjoining countries (the “Covered Countries”) and did not originate from recycled or scrap sources.</w:t>
      </w:r>
    </w:p>
    <w:p>
      <w:pPr>
        <w:pStyle w:val="Normal"/>
        <w:framePr w:w="13082" w:hAnchor="page" w:vAnchor="page" w:x="280" w:y="167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Based on our RCOI, we believe that certain of our products may contain 3TG that originated in the Democratic Republic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228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-LOQVF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d2d03d61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styles.xml" Type="http://schemas.openxmlformats.org/officeDocument/2006/relationships/styles"/><Relationship Id="rId37" Target="fontTable.xml" Type="http://schemas.openxmlformats.org/officeDocument/2006/relationships/fontTable"/><Relationship Id="rId38" Target="settings.xml" Type="http://schemas.openxmlformats.org/officeDocument/2006/relationships/settings"/><Relationship Id="rId39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874</Words>
  <Characters>5061</Characters>
  <Application>e-iceblue</Application>
  <DocSecurity>0</DocSecurity>
  <Lines>108</Lines>
  <Paragraphs>108</Paragraphs>
  <ScaleCrop>false</ScaleCrop>
  <Company>e-iceblue</Company>
  <LinksUpToDate>false</LinksUpToDate>
  <CharactersWithSpaces>6107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2025-05-29T20:42:32Z</dcterms:created>
  <dc:creator>root</dc:creator>
  <cp:lastModifiedBy>root</cp:lastModifiedBy>
  <dcterms:modified xsi:type="dcterms:W3CDTF">2025-05-29T20:42:32Z</dcterms:modified>
  <cp:revision>1</cp:revision>
</cp:coreProperties>
</file>