
<file path=[Content_Types].xml><?xml version="1.0" encoding="utf-8"?>
<Types xmlns="http://schemas.openxmlformats.org/package/2006/content-types">
  <Default ContentType="image/jpeg" Extension="jpeg"/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7813" w:hAnchor="page" w:vAnchor="page" w:x="280" w:y="13388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financial accounting standards provided pursuant to Section 13(a) of the Exchange Act</w:t>
      </w:r>
      <w:r>
        <w:rPr>
          <w:rFonts w:ascii="TimesNewRomanPSMT" w:hAnsi="TimesNewRomanPSMT" w:fareast="TimesNewRomanPSMT" w:cs="TimesNewRomanPSMT"/>
          <w:color w:val="000000"/>
          <w:w w:val="100"/>
          <w:sz w:val="16"/>
          <w:szCs w:val="16"/>
        </w:rPr>
        <w:t xml:space="preserve">.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14198" w:hAnchor="page" w:vAnchor="page" w:x="280" w:y="1321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If an emerging growth company, indicate by check mark if the registrant has elected not to use the extended transition period for complying with any new or revised</w:t>
      </w:r>
    </w:p>
    <w:p>
      <w:pPr>
        <w:pStyle w:val="Normal"/>
        <w:framePr w:w="2695" w:hAnchor="page" w:vAnchor="page" w:x="280" w:y="12892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Emerging growth company </w:t>
      </w: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</w:p>
    <w:p>
      <w:pPr>
        <w:pStyle w:val="Normal"/>
        <w:framePr w:w="6510" w:hAnchor="page" w:vAnchor="page" w:x="280" w:y="1261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12b-2 of the Securities Exchange Act of 1934 (§240.12b-2 of this chapter).</w:t>
      </w:r>
    </w:p>
    <w:p>
      <w:pPr>
        <w:pStyle w:val="Normal"/>
        <w:framePr w:w="14207" w:hAnchor="page" w:vAnchor="page" w:x="280" w:y="12416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Indicate by check mark whether the registrant is an emerging growth company as defined in Rule 405 of the Securities Act of 1933 (§230.405 of this chapter) or Rule</w:t>
      </w:r>
    </w:p>
    <w:p>
      <w:pPr>
        <w:pStyle w:val="Normal"/>
        <w:framePr w:w="6027" w:hAnchor="page" w:vAnchor="page" w:x="3689" w:y="1192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 xml:space="preserve">Securities registered pursuant to Section 12(g) of the Act: 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None.</w:t>
      </w:r>
    </w:p>
    <w:p>
      <w:pPr>
        <w:pStyle w:val="Normal"/>
        <w:framePr w:w="3852" w:hAnchor="page" w:vAnchor="page" w:x="1127" w:y="116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Ordinary shares, $1.00 par value per share</w:t>
      </w:r>
    </w:p>
    <w:p>
      <w:pPr>
        <w:pStyle w:val="Normal"/>
        <w:framePr w:w="480" w:hAnchor="page" w:vAnchor="page" w:x="6000" w:y="116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FTI</w:t>
      </w:r>
    </w:p>
    <w:p>
      <w:pPr>
        <w:pStyle w:val="Normal"/>
        <w:framePr w:w="2447" w:hAnchor="page" w:vAnchor="page" w:x="8648" w:y="1169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New York Stock Exchange</w:t>
      </w:r>
    </w:p>
    <w:p>
      <w:pPr>
        <w:pStyle w:val="Normal"/>
        <w:framePr w:w="1896" w:hAnchor="page" w:vAnchor="page" w:x="1942" w:y="114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Title of Each Class</w:t>
      </w:r>
    </w:p>
    <w:p>
      <w:pPr>
        <w:pStyle w:val="Normal"/>
        <w:framePr w:w="1632" w:hAnchor="page" w:vAnchor="page" w:x="5520" w:y="114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Trading Symbol</w:t>
      </w:r>
    </w:p>
    <w:p>
      <w:pPr>
        <w:pStyle w:val="Normal"/>
        <w:framePr w:w="4384" w:hAnchor="page" w:vAnchor="page" w:x="7841" w:y="11470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Name of Each Exchange on Which Registered</w:t>
      </w:r>
    </w:p>
    <w:p>
      <w:pPr>
        <w:pStyle w:val="Normal"/>
        <w:framePr w:w="5462" w:hAnchor="page" w:vAnchor="page" w:x="3924" w:y="112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Securities registered pursuant to Section 12(b) of the Act:</w:t>
      </w:r>
    </w:p>
    <w:p>
      <w:pPr>
        <w:pStyle w:val="Normal"/>
        <w:framePr w:w="10071" w:hAnchor="page" w:vAnchor="page" w:x="280" w:y="10926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Pre-commencement communications pursuant to Rule 13e-4(c) under the Exchange Act (17 CFR 240.13e-4(c))</w:t>
      </w:r>
    </w:p>
    <w:p>
      <w:pPr>
        <w:pStyle w:val="Normal"/>
        <w:framePr w:w="10093" w:hAnchor="page" w:vAnchor="page" w:x="280" w:y="10475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Pre-commencement communications pursuant to Rule 14d-2(b) under the Exchange Act (17 CFR 240.14d-2(b))</w:t>
      </w:r>
    </w:p>
    <w:p>
      <w:pPr>
        <w:pStyle w:val="Normal"/>
        <w:framePr w:w="8173" w:hAnchor="page" w:vAnchor="page" w:x="280" w:y="10040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Soliciting material pursuant to Rule 14a-12 under the Exchange Act (17 CFR 240.14a-12)</w:t>
      </w:r>
    </w:p>
    <w:p>
      <w:pPr>
        <w:pStyle w:val="Normal"/>
        <w:framePr w:w="8147" w:hAnchor="page" w:vAnchor="page" w:x="280" w:y="9605"/>
        <w:widowControl w:val="off"/>
        <w:autoSpaceDE w:val="off"/>
        <w:autoSpaceDN w:val="off"/>
        <w:spacing w:before="0" w:after="0" w:line="18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DejaVuSans" w:hAnsi="DejaVuSans" w:fareast="DejaVuSans" w:cs="DejaVuSans"/>
          <w:color w:val="000000"/>
          <w:w w:val="100"/>
          <w:sz w:val="16"/>
          <w:szCs w:val="16"/>
        </w:rPr>
        <w:t>☐</w:t>
      </w:r>
      <w:r>
        <w:rPr>
          <w:rFonts w:ascii="ArialMT" w:hAnsi="ArialMT" w:fareast="ArialMT" w:cs="ArialMT"/>
          <w:color w:val="000000"/>
          <w:w w:val="100"/>
          <w:sz w:val="16"/>
          <w:szCs w:val="16"/>
        </w:rPr>
        <w:t xml:space="preserve">    Written communications pursuant to Rule 425 under the Securities Act (17 CFR 230.425)</w:t>
      </w:r>
    </w:p>
    <w:p>
      <w:pPr>
        <w:pStyle w:val="Normal"/>
        <w:framePr w:w="14128" w:hAnchor="page" w:vAnchor="page" w:x="280" w:y="917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Check the appropriate box below if the Form 8-K filing is intended to simultaneously satisfy the filing obligation of the registrant under any of the following provisions:</w:t>
      </w:r>
    </w:p>
    <w:p>
      <w:pPr>
        <w:pStyle w:val="Normal"/>
        <w:framePr w:w="5957" w:hAnchor="page" w:vAnchor="page" w:x="3718" w:y="8753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______________________________________________________</w:t>
      </w:r>
    </w:p>
    <w:p>
      <w:pPr>
        <w:pStyle w:val="Normal"/>
        <w:framePr w:w="5441" w:hAnchor="page" w:vAnchor="page" w:x="3933" w:y="857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(Former name or former address, if changed since last report)</w:t>
      </w:r>
    </w:p>
    <w:p>
      <w:pPr>
        <w:pStyle w:val="Normal"/>
        <w:framePr w:w="1921" w:hAnchor="page" w:vAnchor="page" w:x="5420" w:y="832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4689" w:hAnchor="page" w:vAnchor="page" w:x="4246" w:y="7867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(Registrant's telephone number, including area code)</w:t>
      </w:r>
    </w:p>
    <w:p>
      <w:pPr>
        <w:pStyle w:val="Normal"/>
        <w:framePr w:w="1766" w:hAnchor="page" w:vAnchor="page" w:x="5464" w:y="7642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6"/>
          <w:szCs w:val="16"/>
        </w:rPr>
      </w:pPr>
      <w:r>
        <w:rPr>
          <w:rFonts w:ascii="Arial-BoldMT" w:hAnsi="Arial-BoldMT" w:fareast="Arial-BoldMT" w:cs="Arial-BoldMT"/>
          <w:color w:val="000000"/>
          <w:w w:val="100"/>
          <w:sz w:val="16"/>
          <w:szCs w:val="16"/>
        </w:rPr>
        <w:t>+44 203-429-3950</w:t>
      </w:r>
    </w:p>
    <w:p>
      <w:pPr>
        <w:pStyle w:val="Normal"/>
        <w:framePr w:w="3475" w:hAnchor="page" w:vAnchor="page" w:x="781" w:y="72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(Address of principal executive offices)</w:t>
      </w:r>
    </w:p>
    <w:p>
      <w:pPr>
        <w:pStyle w:val="Normal"/>
        <w:framePr w:w="1099" w:hAnchor="page" w:vAnchor="page" w:x="9698" w:y="7281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(Zip Code)</w:t>
      </w:r>
    </w:p>
    <w:p>
      <w:pPr>
        <w:pStyle w:val="Normal"/>
        <w:framePr w:w="2094" w:hAnchor="page" w:vAnchor="page" w:x="1377" w:y="702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214" w:hAnchor="page" w:vAnchor="page" w:x="9670" w:y="702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NE6 3PL</w:t>
      </w:r>
    </w:p>
    <w:p>
      <w:pPr>
        <w:pStyle w:val="Normal"/>
        <w:framePr w:w="2704" w:hAnchor="page" w:vAnchor="page" w:x="1122" w:y="676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Newcastle Upon Tyne</w:t>
      </w:r>
    </w:p>
    <w:p>
      <w:pPr>
        <w:pStyle w:val="Normal"/>
        <w:framePr w:w="2319" w:hAnchor="page" w:vAnchor="page" w:x="1283" w:y="647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Wincomblee Roa d</w:t>
      </w:r>
    </w:p>
    <w:p>
      <w:pPr>
        <w:pStyle w:val="Normal"/>
        <w:framePr w:w="2001" w:hAnchor="page" w:vAnchor="page" w:x="1415" w:y="629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Hadrian House,</w:t>
      </w:r>
    </w:p>
    <w:p>
      <w:pPr>
        <w:pStyle w:val="Normal"/>
        <w:framePr w:w="3820" w:hAnchor="page" w:vAnchor="page" w:x="630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(State or other jurisdiction of incorporation)</w:t>
      </w:r>
    </w:p>
    <w:p>
      <w:pPr>
        <w:pStyle w:val="Normal"/>
        <w:framePr w:w="2475" w:hAnchor="page" w:vAnchor="page" w:x="5161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(Commission File Number)</w:t>
      </w:r>
    </w:p>
    <w:p>
      <w:pPr>
        <w:pStyle w:val="Normal"/>
        <w:framePr w:w="3147" w:hAnchor="page" w:vAnchor="page" w:x="8859" w:y="5945"/>
        <w:widowControl w:val="off"/>
        <w:autoSpaceDE w:val="off"/>
        <w:autoSpaceDN w:val="off"/>
        <w:spacing w:before="0" w:after="0" w:line="17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6"/>
          <w:szCs w:val="16"/>
        </w:rPr>
      </w:pPr>
      <w:r>
        <w:rPr>
          <w:rFonts w:ascii="ArialMT" w:hAnsi="ArialMT" w:fareast="ArialMT" w:cs="ArialMT"/>
          <w:color w:val="000000"/>
          <w:w w:val="100"/>
          <w:sz w:val="16"/>
          <w:szCs w:val="16"/>
        </w:rPr>
        <w:t>(I.R.S. Employer Identification No.)</w:t>
      </w:r>
    </w:p>
    <w:p>
      <w:pPr>
        <w:pStyle w:val="Normal"/>
        <w:framePr w:w="2094" w:hAnchor="page" w:vAnchor="page" w:x="1369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1388" w:hAnchor="page" w:vAnchor="page" w:x="5634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001-37983</w:t>
      </w:r>
    </w:p>
    <w:p>
      <w:pPr>
        <w:pStyle w:val="Normal"/>
        <w:framePr w:w="1522" w:hAnchor="page" w:vAnchor="page" w:x="9557" w:y="568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98-1283037</w:t>
      </w:r>
    </w:p>
    <w:p>
      <w:pPr>
        <w:pStyle w:val="Normal"/>
        <w:framePr w:w="5711" w:hAnchor="page" w:vAnchor="page" w:x="3840" w:y="539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(Exact name of registrant as specified in its charter)</w:t>
      </w:r>
    </w:p>
    <w:p>
      <w:pPr>
        <w:pStyle w:val="Normal"/>
        <w:framePr w:w="3046" w:hAnchor="page" w:vAnchor="page" w:x="4896" w:y="5020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TechnipFMC plc</w:t>
      </w:r>
    </w:p>
    <w:p>
      <w:pPr>
        <w:pStyle w:val="Normal"/>
        <w:framePr w:w="5258" w:hAnchor="page" w:vAnchor="page" w:x="4029" w:y="451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 of Report (Date of earliest event reported)</w:t>
      </w:r>
    </w:p>
    <w:p>
      <w:pPr>
        <w:pStyle w:val="Normal"/>
        <w:framePr w:w="2162" w:hAnchor="page" w:vAnchor="page" w:x="5319" w:y="427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January 27, 2023</w:t>
      </w:r>
    </w:p>
    <w:p>
      <w:pPr>
        <w:pStyle w:val="Normal"/>
        <w:framePr w:w="8459" w:hAnchor="page" w:vAnchor="page" w:x="2695" w:y="376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Pursuant to Section 13 OR 15(d) of The Securities Exchange Act of 1934</w:t>
      </w:r>
    </w:p>
    <w:p>
      <w:pPr>
        <w:pStyle w:val="Normal"/>
        <w:framePr w:w="3184" w:hAnchor="page" w:vAnchor="page" w:x="4813" w:y="3149"/>
        <w:widowControl w:val="off"/>
        <w:autoSpaceDE w:val="off"/>
        <w:autoSpaceDN w:val="off"/>
        <w:spacing w:before="0" w:after="0" w:line="31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8"/>
          <w:szCs w:val="28"/>
        </w:rPr>
      </w:pPr>
      <w:r>
        <w:rPr>
          <w:rFonts w:ascii="Arial-BoldMT" w:hAnsi="Arial-BoldMT" w:fareast="Arial-BoldMT" w:cs="Arial-BoldMT"/>
          <w:color w:val="000000"/>
          <w:w w:val="100"/>
          <w:sz w:val="28"/>
          <w:szCs w:val="28"/>
        </w:rPr>
        <w:t>CURRENT REPORT</w:t>
      </w:r>
    </w:p>
    <w:p>
      <w:pPr>
        <w:pStyle w:val="Normal"/>
        <w:framePr w:w="2054" w:hAnchor="page" w:vAnchor="page" w:x="5346" w:y="24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FORM 8-K</w:t>
      </w:r>
    </w:p>
    <w:p>
      <w:pPr>
        <w:pStyle w:val="Normal"/>
        <w:framePr w:w="2953" w:hAnchor="page" w:vAnchor="page" w:x="4990" w:y="199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Washington, D.C. 20549</w:t>
      </w:r>
    </w:p>
    <w:p>
      <w:pPr>
        <w:pStyle w:val="Normal"/>
        <w:framePr w:w="7827" w:hAnchor="page" w:vAnchor="page" w:x="2722" w:y="1597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SECURITIES AND EXCHANGE COMMISSION</w:t>
      </w:r>
    </w:p>
    <w:p>
      <w:pPr>
        <w:pStyle w:val="Normal"/>
        <w:framePr w:w="3098" w:hAnchor="page" w:vAnchor="page" w:x="4872" w:y="1221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32"/>
          <w:szCs w:val="32"/>
        </w:rPr>
      </w:pPr>
      <w:r>
        <w:rPr>
          <w:rFonts w:ascii="Arial-BoldMT" w:hAnsi="Arial-BoldMT" w:fareast="Arial-BoldMT" w:cs="Arial-BoldMT"/>
          <w:color w:val="000000"/>
          <w:w w:val="100"/>
          <w:sz w:val="32"/>
          <w:szCs w:val="32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70.4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71.15pt;z-index:-1677720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6.25pt;margin-top:770.4pt;z-index:-1677720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770.4pt;z-index:-1677719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75.4pt;margin-top:51.3pt;z-index:-1677719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75.4pt;margin-top:54.3pt;z-index:-1677718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362.05pt;margin-top:51.3pt;z-index:-1677718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362.05pt;margin-top:54.3pt;z-index:-16777180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248.7pt;margin-top:51.3pt;z-index:-16777176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248.7pt;margin-top:54.3pt;z-index:-16777172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5.35pt;margin-top:51.3pt;z-index:-16777168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5.35pt;margin-top:54.3pt;z-index:-16777164;width:115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21.25pt;margin-top:51.3pt;z-index:-16777160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21.25pt;margin-top:54.3pt;z-index:-16777156;width:116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587.25pt;margin-top:51.3pt;z-index:-16777152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480.65pt;margin-top:51.3pt;z-index:-16777148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475.4pt;margin-top:51.3pt;z-index:-16777144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473.9pt;margin-top:51.3pt;z-index:-16777140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367.3pt;margin-top:51.3pt;z-index:-16777136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362.05pt;margin-top:51.3pt;z-index:-16777132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360.55pt;margin-top:51.3pt;z-index:-16777128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253.95pt;margin-top:51.3pt;z-index:-16777124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48.7pt;margin-top:51.3pt;z-index:-16777120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247.2pt;margin-top:51.3pt;z-index:-16777116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40.6pt;margin-top:51.3pt;z-index:-16777112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5.35pt;margin-top:51.3pt;z-index:-16777108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3.85pt;margin-top:51.3pt;z-index:-1677710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27.25pt;margin-top:51.3pt;z-index:-16777100;width:108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21.25pt;margin-top:51.3pt;z-index:-16777096;width: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3.75pt;margin-top:685.55pt;z-index:-16777092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13.75pt;margin-top:688.6pt;z-index:-16777088;width:584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594.75pt;margin-top:685.55pt;z-index:-16777084;width:3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9pt;margin-top:685.55pt;z-index:-16777080;width:577.7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3.75pt;margin-top:685.55pt;z-index:-16777076;width: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</w:p>
    <w:p>
      <w:pPr>
        <w:pStyle w:val="Normal"/>
        <w:framePr w:w="641" w:hAnchor="page" w:vAnchor="page" w:x="1036" w:y="888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104</w:t>
      </w:r>
    </w:p>
    <w:p>
      <w:pPr>
        <w:pStyle w:val="Normal"/>
        <w:framePr w:w="7273" w:hAnchor="page" w:vAnchor="page" w:x="2522" w:y="888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Inline XBRL for the cover page of this Current Report on Form 8-K</w:t>
      </w:r>
    </w:p>
    <w:p>
      <w:pPr>
        <w:pStyle w:val="Normal"/>
        <w:framePr w:w="707" w:hAnchor="page" w:vAnchor="page" w:x="1009" w:y="85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99.1</w:t>
      </w:r>
    </w:p>
    <w:p>
      <w:pPr>
        <w:pStyle w:val="Normal"/>
        <w:framePr w:w="7247" w:hAnchor="page" w:vAnchor="page" w:x="2522" w:y="859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0"/>
          <w:szCs w:val="20"/>
        </w:rPr>
      </w:pPr>
      <w:r>
        <w:rPr>
          <w:rFonts w:ascii="ArialMT" w:hAnsi="ArialMT" w:fareast="ArialMT" w:cs="ArialMT"/>
          <w:color w:val="0000ff"/>
          <w:w w:val="100"/>
          <w:sz w:val="20"/>
          <w:szCs w:val="20"/>
        </w:rPr>
        <w:t>News Release issued by TechnipFMC plc dated January 31, 2023</w:t>
      </w:r>
    </w:p>
    <w:p>
      <w:pPr>
        <w:pStyle w:val="Normal"/>
        <w:framePr w:w="1506" w:hAnchor="page" w:vAnchor="page" w:x="629" w:y="800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Exhibit No.</w:t>
      </w:r>
    </w:p>
    <w:p>
      <w:pPr>
        <w:pStyle w:val="Normal"/>
        <w:framePr w:w="1573" w:hAnchor="page" w:vAnchor="page" w:x="6461" w:y="800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Description</w:t>
      </w:r>
    </w:p>
    <w:p>
      <w:pPr>
        <w:pStyle w:val="Normal"/>
        <w:framePr w:w="5297" w:hAnchor="page" w:vAnchor="page" w:x="280" w:y="714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9.01 Financial Statements and Exhibits.</w:t>
      </w:r>
    </w:p>
    <w:p>
      <w:pPr>
        <w:pStyle w:val="Normal"/>
        <w:framePr w:w="801" w:hAnchor="page" w:vAnchor="page" w:x="280" w:y="637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filing.</w:t>
      </w:r>
    </w:p>
    <w:p>
      <w:pPr>
        <w:pStyle w:val="Normal"/>
        <w:framePr w:w="14256" w:hAnchor="page" w:vAnchor="page" w:x="280" w:y="616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Securities Act of 1933, as amended, or the Exchange Act, except as shall be expressly set forth by specific reference in such a</w:t>
      </w:r>
    </w:p>
    <w:p>
      <w:pPr>
        <w:pStyle w:val="Normal"/>
        <w:framePr w:w="14255" w:hAnchor="page" w:vAnchor="page" w:x="280" w:y="5954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Section. The information in this Item 7.01, including Exhibit 99.1, shall not be deemed incorporated by reference into any filing under</w:t>
      </w:r>
    </w:p>
    <w:p>
      <w:pPr>
        <w:pStyle w:val="Normal"/>
        <w:framePr w:w="14253" w:hAnchor="page" w:vAnchor="page" w:x="280" w:y="572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Section 18 of the Securities Exchange Act of 1934, as amended (the “Exchange Act”), or otherwise subject to the liabilities of that</w:t>
      </w:r>
    </w:p>
    <w:p>
      <w:pPr>
        <w:pStyle w:val="Normal"/>
        <w:framePr w:w="14252" w:hAnchor="page" w:vAnchor="page" w:x="280" w:y="5519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The information set forth in this Item 7.01, including Exhibit 99.1, is being furnished and shall not be deemed “filed” for purposes of</w:t>
      </w:r>
    </w:p>
    <w:p>
      <w:pPr>
        <w:pStyle w:val="Normal"/>
        <w:framePr w:w="2856" w:hAnchor="page" w:vAnchor="page" w:x="280" w:y="503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herewith as Exhibit 99.1.</w:t>
      </w:r>
    </w:p>
    <w:p>
      <w:pPr>
        <w:pStyle w:val="Normal"/>
        <w:framePr w:w="14251" w:hAnchor="page" w:vAnchor="page" w:x="280" w:y="4828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On January 31, 2023, the Company issued a news release announcing Mr. Gwin’s election to the Board, a copy of which is filed</w:t>
      </w:r>
    </w:p>
    <w:p>
      <w:pPr>
        <w:pStyle w:val="Normal"/>
        <w:framePr w:w="4523" w:hAnchor="page" w:vAnchor="page" w:x="280" w:y="4333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7.01    Regulation FD Disclosure.</w:t>
      </w:r>
    </w:p>
    <w:p>
      <w:pPr>
        <w:pStyle w:val="Normal"/>
        <w:framePr w:w="3750" w:hAnchor="page" w:vAnchor="page" w:x="280" w:y="385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general meeting of shareholders.</w:t>
      </w:r>
    </w:p>
    <w:p>
      <w:pPr>
        <w:pStyle w:val="Normal"/>
        <w:framePr w:w="14239" w:hAnchor="page" w:vAnchor="page" w:x="280" w:y="364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On January 27, 2023, Peter Mellbye notified the Board of his decision not to stand for re-election at the Company’s next annual</w:t>
      </w:r>
    </w:p>
    <w:p>
      <w:pPr>
        <w:pStyle w:val="Normal"/>
        <w:framePr w:w="9293" w:hAnchor="page" w:vAnchor="page" w:x="280" w:y="314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accordance with the Company’s shareholder-approved Director Renumeration Policy.</w:t>
      </w:r>
    </w:p>
    <w:p>
      <w:pPr>
        <w:pStyle w:val="Normal"/>
        <w:framePr w:w="14255" w:hAnchor="page" w:vAnchor="page" w:x="280" w:y="293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Securities and Exchange Commission on March 18, 2022, prorated to reflect his length of service in 2023. Such compensation is in</w:t>
      </w:r>
    </w:p>
    <w:p>
      <w:pPr>
        <w:pStyle w:val="Normal"/>
        <w:framePr w:w="14244" w:hAnchor="page" w:vAnchor="page" w:x="280" w:y="272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directors as disclosed under the caption “Director Compensation” in the Company’s Definitive Proxy Statement filed with the U.S.</w:t>
      </w:r>
    </w:p>
    <w:p>
      <w:pPr>
        <w:pStyle w:val="Normal"/>
        <w:framePr w:w="14245" w:hAnchor="page" w:vAnchor="page" w:x="280" w:y="2516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For  his  service,  Mr.  Gwin  will  receive  compensation  commensurate  with  that  received  by  the  Company’s  other  non-executive</w:t>
      </w:r>
    </w:p>
    <w:p>
      <w:pPr>
        <w:pStyle w:val="Normal"/>
        <w:framePr w:w="8675" w:hAnchor="page" w:vAnchor="page" w:x="280" w:y="202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2023, and is expected to appoint Mr. Gwin to the Audit Committee of the Board.</w:t>
      </w:r>
    </w:p>
    <w:p>
      <w:pPr>
        <w:pStyle w:val="Normal"/>
        <w:framePr w:w="14252" w:hAnchor="page" w:vAnchor="page" w:x="280" w:y="181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Directors (the “Board”) of TechnipFMC plc (the “Company”), the Board elected Robert G. Gwin to the Board, effective February 1,</w:t>
      </w:r>
    </w:p>
    <w:p>
      <w:pPr>
        <w:pStyle w:val="Normal"/>
        <w:framePr w:w="14249" w:hAnchor="page" w:vAnchor="page" w:x="280" w:y="160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On  January  27,  2023,  upon  the  recommendation  of  the  Environmental,  Social,  and  Governance  Committee  of  the  Board  of</w:t>
      </w:r>
    </w:p>
    <w:p>
      <w:pPr>
        <w:pStyle w:val="Normal"/>
        <w:framePr w:w="5844" w:hAnchor="page" w:vAnchor="page" w:x="280" w:y="11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Compensatory Arrangements of Certain Officers.</w:t>
      </w:r>
    </w:p>
    <w:p>
      <w:pPr>
        <w:pStyle w:val="Normal"/>
        <w:framePr w:w="12621" w:hAnchor="page" w:vAnchor="page" w:x="280" w:y="880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Item 5.02    Departure of Directors or Certain Officers; Election of Directors; Appointment of Certain Officers;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7pt;margin-top:1pt;z-index:-1677707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3pt;margin-top:509.95pt;z-index:-1677706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3pt;margin-top:510.7pt;z-index:-1677706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596.25pt;margin-top:509.95pt;z-index:-16777060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3pt;margin-top:509.95pt;z-index:-1677705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24.1pt;margin-top:413.1pt;z-index:-16777052;width:45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13pt;margin-top:413.1pt;z-index:-16777048;width:94.3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125.1pt;margin-top:438.6pt;z-index:-16777044;width:293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25.1pt;margin-top:438.6pt;z-index:-16777040;width:293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</w:p>
    <w:p>
      <w:pPr>
        <w:pStyle w:val="Normal"/>
        <w:framePr w:w="7202" w:hAnchor="page" w:vAnchor="page" w:x="4429" w:y="3582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Title: Executive Vice President, Chief Legal Officer, and Secretary</w:t>
      </w:r>
    </w:p>
    <w:p>
      <w:pPr>
        <w:pStyle w:val="Normal"/>
        <w:framePr w:w="947" w:hAnchor="page" w:vAnchor="page" w:x="300" w:y="332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Dated:</w:t>
      </w:r>
    </w:p>
    <w:p>
      <w:pPr>
        <w:pStyle w:val="Normal"/>
        <w:framePr w:w="2069" w:hAnchor="page" w:vAnchor="page" w:x="1141" w:y="332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February 1, 2023</w:t>
      </w:r>
    </w:p>
    <w:p>
      <w:pPr>
        <w:pStyle w:val="Normal"/>
        <w:framePr w:w="2478" w:hAnchor="page" w:vAnchor="page" w:x="4429" w:y="332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Name: Victoria Lazar</w:t>
      </w:r>
    </w:p>
    <w:p>
      <w:pPr>
        <w:pStyle w:val="Normal"/>
        <w:framePr w:w="2437" w:hAnchor="page" w:vAnchor="page" w:x="4429" w:y="3057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By: /s/ Victoria Lazar</w:t>
      </w:r>
    </w:p>
    <w:p>
      <w:pPr>
        <w:pStyle w:val="Normal"/>
        <w:framePr w:w="2076" w:hAnchor="page" w:vAnchor="page" w:x="4429" w:y="2201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5780" w:hAnchor="page" w:vAnchor="page" w:x="280" w:y="164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behalf by the undersigned hereunto duly authorized.</w:t>
      </w:r>
    </w:p>
    <w:p>
      <w:pPr>
        <w:pStyle w:val="Normal"/>
        <w:framePr w:w="14244" w:hAnchor="page" w:vAnchor="page" w:x="280" w:y="140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0"/>
          <w:szCs w:val="20"/>
        </w:rPr>
      </w:pPr>
      <w:r>
        <w:rPr>
          <w:rFonts w:ascii="ArialMT" w:hAnsi="ArialMT" w:fareast="ArialMT" w:cs="ArialMT"/>
          <w:color w:val="000000"/>
          <w:w w:val="100"/>
          <w:sz w:val="20"/>
          <w:szCs w:val="20"/>
        </w:rPr>
        <w:t>Pursuant to the requirements of the Securities Exchange Act of 1934, the registrant has duly caused this report to be signed on its</w:t>
      </w:r>
    </w:p>
    <w:p>
      <w:pPr>
        <w:pStyle w:val="Normal"/>
        <w:framePr w:w="1796" w:hAnchor="page" w:vAnchor="page" w:x="5471" w:y="895"/>
        <w:widowControl w:val="off"/>
        <w:autoSpaceDE w:val="off"/>
        <w:autoSpaceDN w:val="off"/>
        <w:spacing w:before="0" w:after="0" w:line="22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0"/>
          <w:szCs w:val="20"/>
        </w:rPr>
      </w:pPr>
      <w:r>
        <w:rPr>
          <w:rFonts w:ascii="Arial-BoldMT" w:hAnsi="Arial-BoldMT" w:fareast="Arial-BoldMT" w:cs="Arial-BoldMT"/>
          <w:color w:val="000000"/>
          <w:w w:val="100"/>
          <w:sz w:val="20"/>
          <w:szCs w:val="20"/>
        </w:rPr>
        <w:t>SIGNATURES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7pt;margin-top:1pt;z-index:-16777036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219.45pt;margin-top:163.9pt;z-index:-16777032;width:379.5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</w:p>
    <w:p>
      <w:pPr>
        <w:pStyle w:val="Normal"/>
        <w:framePr w:w="1556" w:hAnchor="page" w:vAnchor="page" w:x="4281" w:y="1407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80808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808080"/>
          <w:w w:val="100"/>
          <w:sz w:val="14"/>
          <w:szCs w:val="14"/>
        </w:rPr>
        <w:t>TechnipFMC.com</w:t>
      </w:r>
    </w:p>
    <w:p>
      <w:pPr>
        <w:pStyle w:val="Normal"/>
        <w:framePr w:w="1055" w:hAnchor="page" w:vAnchor="page" w:x="11018" w:y="1407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80808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808080"/>
          <w:w w:val="100"/>
          <w:sz w:val="14"/>
          <w:szCs w:val="14"/>
        </w:rPr>
        <w:t>Page 1 of 2</w:t>
      </w:r>
    </w:p>
    <w:p>
      <w:pPr>
        <w:pStyle w:val="Normal"/>
        <w:framePr w:w="2098" w:hAnchor="page" w:vAnchor="page" w:x="280" w:y="1042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the CFA Institute.</w:t>
      </w:r>
    </w:p>
    <w:p>
      <w:pPr>
        <w:pStyle w:val="Normal"/>
        <w:framePr w:w="13074" w:hAnchor="page" w:vAnchor="page" w:x="280" w:y="1021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Fuqua School of Business at Duke University. He also earned the Chartered Financial Analyst (CFA) designation from</w:t>
      </w:r>
    </w:p>
    <w:p>
      <w:pPr>
        <w:pStyle w:val="Normal"/>
        <w:framePr w:w="13087" w:hAnchor="page" w:vAnchor="page" w:x="280" w:y="998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Science degree from the University of Southern California and a Master of Business Administration degree from the</w:t>
      </w:r>
    </w:p>
    <w:p>
      <w:pPr>
        <w:pStyle w:val="Normal"/>
        <w:framePr w:w="13085" w:hAnchor="page" w:vAnchor="page" w:x="280" w:y="976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from  2007  to  2019,  including  serving  as  the  Chairman  of  both  entities  from  2009  to  2018.  He  holds  a  Bachelor  of</w:t>
      </w:r>
    </w:p>
    <w:p>
      <w:pPr>
        <w:pStyle w:val="Normal"/>
        <w:framePr w:w="13083" w:hAnchor="page" w:vAnchor="page" w:x="280" w:y="955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previously was a director of both Western Gas Partners, LP, and its general partner Western Gas Equity Partners, LP</w:t>
      </w:r>
    </w:p>
    <w:p>
      <w:pPr>
        <w:pStyle w:val="Normal"/>
        <w:framePr w:w="13077" w:hAnchor="page" w:vAnchor="page" w:x="280" w:y="93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as a director of Enable Midstream Partners, LP from 2020 through 2021, including serving as its Chairman. He also</w:t>
      </w:r>
    </w:p>
    <w:p>
      <w:pPr>
        <w:pStyle w:val="Normal"/>
        <w:framePr w:w="13087" w:hAnchor="page" w:vAnchor="page" w:x="280" w:y="911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director of LyondellBasell Industries N.V. from 2011 to 2018, including serving as its Chairman from 2013 to 2018, and</w:t>
      </w:r>
    </w:p>
    <w:p>
      <w:pPr>
        <w:pStyle w:val="Normal"/>
        <w:framePr w:w="13087" w:hAnchor="page" w:vAnchor="page" w:x="280" w:y="889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Gwin is currently a director of Pembina Pipeline Corporation and Crescent Energy Company. He previously served as a</w:t>
      </w:r>
    </w:p>
    <w:p>
      <w:pPr>
        <w:pStyle w:val="Normal"/>
        <w:framePr w:w="13081" w:hAnchor="page" w:vAnchor="page" w:x="280" w:y="866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2019. He served as Executive Vice President, Finance and Chief Financial Officer of Anadarko from 2009 to 2018. Mr.</w:t>
      </w:r>
    </w:p>
    <w:p>
      <w:pPr>
        <w:pStyle w:val="Normal"/>
        <w:framePr w:w="13089" w:hAnchor="page" w:vAnchor="page" w:x="280" w:y="845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natural gas exploration and production companies, until its acquisition by Occidental Petroleum Corporation in August</w:t>
      </w:r>
    </w:p>
    <w:p>
      <w:pPr>
        <w:pStyle w:val="Normal"/>
        <w:framePr w:w="13086" w:hAnchor="page" w:vAnchor="page" w:x="280" w:y="823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Mr. Gwin was President of Anadarko Petroleum Corporation (“Anadarko”), one of the world’s largest independent oil and</w:t>
      </w:r>
    </w:p>
    <w:p>
      <w:pPr>
        <w:pStyle w:val="Normal"/>
        <w:framePr w:w="2770" w:hAnchor="page" w:vAnchor="page" w:x="280" w:y="781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About Robert G. Gwin</w:t>
      </w:r>
    </w:p>
    <w:p>
      <w:pPr>
        <w:pStyle w:val="Normal"/>
        <w:framePr w:w="3403" w:hAnchor="page" w:vAnchor="page" w:x="280" w:y="739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complements its capabilities.”</w:t>
      </w:r>
    </w:p>
    <w:p>
      <w:pPr>
        <w:pStyle w:val="Normal"/>
        <w:framePr w:w="13088" w:hAnchor="page" w:vAnchor="page" w:x="280" w:y="716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strategic thinking and financial acumen to our Board. Bob brings a skillset that strengthens our Board of Directors and</w:t>
      </w:r>
    </w:p>
    <w:p>
      <w:pPr>
        <w:pStyle w:val="Normal"/>
        <w:framePr w:w="13089" w:hAnchor="page" w:vAnchor="page" w:x="280" w:y="695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company.  He  has  spent  over  30  years  working  in  numerous  areas  of  finance  and  operations  and  brings  extensive</w:t>
      </w:r>
    </w:p>
    <w:p>
      <w:pPr>
        <w:pStyle w:val="Normal"/>
        <w:framePr w:w="13079" w:hAnchor="page" w:vAnchor="page" w:x="280" w:y="673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He  is  a  proven  board  member  and  global  business  leader,  who  has  tremendous  knowledge  of  our  industry  and</w:t>
      </w:r>
    </w:p>
    <w:p>
      <w:pPr>
        <w:pStyle w:val="Normal"/>
        <w:framePr w:w="13086" w:hAnchor="page" w:vAnchor="page" w:x="280" w:y="650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company and wish him well in his retirement.” Mr. Pferdehirt continued, “I am delighted to welcome Bob to the Board.</w:t>
      </w:r>
    </w:p>
    <w:p>
      <w:pPr>
        <w:pStyle w:val="Normal"/>
        <w:framePr w:w="13085" w:hAnchor="page" w:vAnchor="page" w:x="280" w:y="629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tremendous leader, partner and contributor. We have greatly benefitted from his leadership during the evolution of our</w:t>
      </w:r>
    </w:p>
    <w:p>
      <w:pPr>
        <w:pStyle w:val="Normal"/>
        <w:framePr w:w="13083" w:hAnchor="page" w:vAnchor="page" w:x="280" w:y="60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Doug  Pferdehirt,  Chair  and   CEO  of  TechnipFMC,  stated:  “Since  joining   the  Board  in  2013,  Peter  has   been  a</w:t>
      </w:r>
    </w:p>
    <w:p>
      <w:pPr>
        <w:pStyle w:val="Normal"/>
        <w:framePr w:w="7516" w:hAnchor="page" w:vAnchor="page" w:x="280" w:y="565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stand for re-election at the Company’s next annual general meeting.</w:t>
      </w:r>
    </w:p>
    <w:p>
      <w:pPr>
        <w:pStyle w:val="Normal"/>
        <w:framePr w:w="13078" w:hAnchor="page" w:vAnchor="page" w:x="280" w:y="542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effective February 1, 2023. The Company also announced that Peter Mellbye will retire from the Board and will not</w:t>
      </w:r>
    </w:p>
    <w:p>
      <w:pPr>
        <w:pStyle w:val="Normal"/>
        <w:framePr w:w="13078" w:hAnchor="page" w:vAnchor="page" w:x="280" w:y="521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Robert G. Gwin, former President of Anadarko Petroleum Corporation, has been appointed to its Board of Directors,</w:t>
      </w:r>
    </w:p>
    <w:p>
      <w:pPr>
        <w:pStyle w:val="Normal"/>
        <w:framePr w:w="13078" w:hAnchor="page" w:vAnchor="page" w:x="280" w:y="499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 xml:space="preserve">NEWCASTLE &amp; HOUSTON, January 31, 2023    </w:t>
      </w:r>
      <w:r>
        <w:rPr>
          <w:rFonts w:ascii="ArialMT" w:hAnsi="ArialMT" w:fareast="ArialMT" w:cs="ArialMT"/>
          <w:color w:val="000000"/>
          <w:w w:val="100"/>
          <w:sz w:val="22"/>
          <w:szCs w:val="22"/>
        </w:rPr>
        <w:t>– TechnipFMC (NYSE: FTI) (the “Company”) today announced that</w:t>
      </w:r>
    </w:p>
    <w:p>
      <w:pPr>
        <w:pStyle w:val="Normal"/>
        <w:framePr w:w="10100" w:hAnchor="page" w:vAnchor="page" w:x="280" w:y="4254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32"/>
          <w:szCs w:val="32"/>
        </w:rPr>
      </w:pPr>
      <w:r>
        <w:rPr>
          <w:rFonts w:ascii="ArialMT" w:hAnsi="ArialMT" w:fareast="ArialMT" w:cs="ArialMT"/>
          <w:color w:val="000000"/>
          <w:w w:val="100"/>
          <w:sz w:val="32"/>
          <w:szCs w:val="32"/>
        </w:rPr>
        <w:t>TechnipFMC Appoints Robert G. Gwin to its Board of Directors</w:t>
      </w:r>
    </w:p>
    <w:p>
      <w:pPr>
        <w:pStyle w:val="Normal"/>
        <w:framePr w:w="2642" w:hAnchor="page" w:vAnchor="page" w:x="280" w:y="3458"/>
        <w:widowControl w:val="off"/>
        <w:autoSpaceDE w:val="off"/>
        <w:autoSpaceDN w:val="off"/>
        <w:spacing w:before="0" w:after="0" w:line="358" w:lineRule="exact"/>
        <w:ind w:left="0" w:right="0" w:first-line="0"/>
        <w:jc w:val="left"/>
        <w:rPr>
          <w:rFonts w:ascii="ArialMT" w:hAnsi="ArialMT" w:fareast="ArialMT" w:cs="ArialMT"/>
          <w:color w:val="a6a6a6"/>
          <w:w w:val="100"/>
          <w:sz w:val="32"/>
          <w:szCs w:val="32"/>
        </w:rPr>
      </w:pPr>
      <w:r>
        <w:rPr>
          <w:rFonts w:ascii="ArialMT" w:hAnsi="ArialMT" w:fareast="ArialMT" w:cs="ArialMT"/>
          <w:color w:val="a6a6a6"/>
          <w:w w:val="100"/>
          <w:sz w:val="32"/>
          <w:szCs w:val="32"/>
        </w:rPr>
        <w:t>Press Release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7pt;margin-top:1pt;z-index:-16777028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13pt;margin-top:736.6pt;z-index:-16777024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737.35pt;z-index:-1677702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596.25pt;margin-top:736.6pt;z-index:-16777016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3pt;margin-top:736.6pt;z-index:-16777012;width:2.7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14pt;margin-top:25.25pt;z-index:-16777008;width:225.2pt;height:41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</w:p>
    <w:p>
      <w:pPr>
        <w:pStyle w:val="Normal"/>
        <w:framePr w:w="1556" w:hAnchor="page" w:vAnchor="page" w:x="4281" w:y="1371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80808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808080"/>
          <w:w w:val="100"/>
          <w:sz w:val="14"/>
          <w:szCs w:val="14"/>
        </w:rPr>
        <w:t>TechnipFMC.com</w:t>
      </w:r>
    </w:p>
    <w:p>
      <w:pPr>
        <w:pStyle w:val="Normal"/>
        <w:framePr w:w="1055" w:hAnchor="page" w:vAnchor="page" w:x="11018" w:y="13710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Arial-BoldMT" w:hAnsi="Arial-BoldMT" w:fareast="Arial-BoldMT" w:cs="Arial-BoldMT"/>
          <w:color w:val="80808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808080"/>
          <w:w w:val="100"/>
          <w:sz w:val="14"/>
          <w:szCs w:val="14"/>
        </w:rPr>
        <w:t>Page 2 of 2</w:t>
      </w:r>
    </w:p>
    <w:p>
      <w:pPr>
        <w:pStyle w:val="Normal"/>
        <w:framePr w:w="2367" w:hAnchor="page" w:vAnchor="page" w:x="355" w:y="1165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James Davis</w:t>
      </w:r>
    </w:p>
    <w:p>
      <w:pPr>
        <w:pStyle w:val="Normal"/>
        <w:framePr w:w="2510" w:hAnchor="page" w:vAnchor="page" w:x="355" w:y="1140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+1 281 260 3665</w:t>
      </w:r>
    </w:p>
    <w:p>
      <w:pPr>
        <w:pStyle w:val="Normal"/>
        <w:framePr w:w="2197" w:hAnchor="page" w:vAnchor="page" w:x="5985" w:y="1140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Catie Tuley</w:t>
      </w:r>
    </w:p>
    <w:p>
      <w:pPr>
        <w:pStyle w:val="Normal"/>
        <w:framePr w:w="4022" w:hAnchor="page" w:vAnchor="page" w:x="355" w:y="1113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Senior Manager, Investor Relations</w:t>
      </w:r>
    </w:p>
    <w:p>
      <w:pPr>
        <w:pStyle w:val="Normal"/>
        <w:framePr w:w="2510" w:hAnchor="page" w:vAnchor="page" w:x="5985" w:y="1113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+1 281 591 5405</w:t>
      </w:r>
    </w:p>
    <w:p>
      <w:pPr>
        <w:pStyle w:val="Normal"/>
        <w:framePr w:w="1627" w:hAnchor="page" w:vAnchor="page" w:x="355" w:y="1086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James Davis</w:t>
      </w:r>
    </w:p>
    <w:p>
      <w:pPr>
        <w:pStyle w:val="Normal"/>
        <w:framePr w:w="2946" w:hAnchor="page" w:vAnchor="page" w:x="5985" w:y="1086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Director, Public Relations</w:t>
      </w:r>
    </w:p>
    <w:p>
      <w:pPr>
        <w:pStyle w:val="Normal"/>
        <w:framePr w:w="1457" w:hAnchor="page" w:vAnchor="page" w:x="5985" w:y="1060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Catie Tuley</w:t>
      </w:r>
    </w:p>
    <w:p>
      <w:pPr>
        <w:pStyle w:val="Normal"/>
        <w:framePr w:w="2865" w:hAnchor="page" w:vAnchor="page" w:x="355" w:y="1013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Matt Seinsheimer</w:t>
      </w:r>
    </w:p>
    <w:p>
      <w:pPr>
        <w:pStyle w:val="Normal"/>
        <w:framePr w:w="2510" w:hAnchor="page" w:vAnchor="page" w:x="355" w:y="986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Tel: +1 281 260 3665</w:t>
      </w:r>
    </w:p>
    <w:p>
      <w:pPr>
        <w:pStyle w:val="Normal"/>
        <w:framePr w:w="2717" w:hAnchor="page" w:vAnchor="page" w:x="5985" w:y="986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ff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Email: </w:t>
      </w:r>
      <w:r>
        <w:rPr>
          <w:rFonts w:ascii="ArialMT" w:hAnsi="ArialMT" w:fareast="ArialMT" w:cs="ArialMT"/>
          <w:color w:val="0000ff"/>
          <w:w w:val="100"/>
          <w:sz w:val="22"/>
          <w:szCs w:val="22"/>
        </w:rPr>
        <w:t>Nicola Cameron</w:t>
      </w:r>
    </w:p>
    <w:p>
      <w:pPr>
        <w:pStyle w:val="Normal"/>
        <w:framePr w:w="1668" w:hAnchor="page" w:vAnchor="page" w:x="355" w:y="959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Development</w:t>
      </w:r>
    </w:p>
    <w:p>
      <w:pPr>
        <w:pStyle w:val="Normal"/>
        <w:framePr w:w="2644" w:hAnchor="page" w:vAnchor="page" w:x="5985" w:y="959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 xml:space="preserve">Tel: +44 1383 742297 </w:t>
      </w:r>
    </w:p>
    <w:p>
      <w:pPr>
        <w:pStyle w:val="Normal"/>
        <w:framePr w:w="6251" w:hAnchor="page" w:vAnchor="page" w:x="355" w:y="934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Senior Vice President, Investor Relations and Corporate</w:t>
      </w:r>
    </w:p>
    <w:p>
      <w:pPr>
        <w:pStyle w:val="Normal"/>
        <w:framePr w:w="4879" w:hAnchor="page" w:vAnchor="page" w:x="5985" w:y="934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Vice President, Corporate Communications</w:t>
      </w:r>
    </w:p>
    <w:p>
      <w:pPr>
        <w:pStyle w:val="Normal"/>
        <w:framePr w:w="2125" w:hAnchor="page" w:vAnchor="page" w:x="355" w:y="90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Matt Seinsheimer</w:t>
      </w:r>
    </w:p>
    <w:p>
      <w:pPr>
        <w:pStyle w:val="Normal"/>
        <w:framePr w:w="1977" w:hAnchor="page" w:vAnchor="page" w:x="5985" w:y="907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Nicola Cameron</w:t>
      </w:r>
    </w:p>
    <w:p>
      <w:pPr>
        <w:pStyle w:val="Normal"/>
        <w:framePr w:w="2260" w:hAnchor="page" w:vAnchor="page" w:x="355" w:y="87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Investor relations</w:t>
      </w:r>
    </w:p>
    <w:p>
      <w:pPr>
        <w:pStyle w:val="Normal"/>
        <w:framePr w:w="2004" w:hAnchor="page" w:vAnchor="page" w:x="5985" w:y="8713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Media relations</w:t>
      </w:r>
    </w:p>
    <w:p>
      <w:pPr>
        <w:pStyle w:val="Normal"/>
        <w:framePr w:w="1394" w:hAnchor="page" w:vAnchor="page" w:x="280" w:y="8260"/>
        <w:widowControl w:val="off"/>
        <w:autoSpaceDE w:val="off"/>
        <w:autoSpaceDN w:val="off"/>
        <w:spacing w:before="0" w:after="0" w:line="268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4"/>
          <w:szCs w:val="24"/>
        </w:rPr>
      </w:pPr>
      <w:r>
        <w:rPr>
          <w:rFonts w:ascii="Arial-BoldMT" w:hAnsi="Arial-BoldMT" w:fareast="Arial-BoldMT" w:cs="Arial-BoldMT"/>
          <w:color w:val="000000"/>
          <w:w w:val="100"/>
          <w:sz w:val="24"/>
          <w:szCs w:val="24"/>
        </w:rPr>
        <w:t>Contacts</w:t>
      </w:r>
    </w:p>
    <w:p>
      <w:pPr>
        <w:pStyle w:val="Normal"/>
        <w:framePr w:w="1979" w:hAnchor="page" w:vAnchor="page" w:x="280" w:y="7527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@TechnipFMC.</w:t>
      </w:r>
    </w:p>
    <w:p>
      <w:pPr>
        <w:pStyle w:val="Normal"/>
        <w:framePr w:w="13086" w:hAnchor="page" w:vAnchor="page" w:x="280" w:y="730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about  how  we  are  driving  change  in  the  industry,  go  to  www.TechnipFMC.com  and  follow  us  on  Twitter</w:t>
      </w:r>
    </w:p>
    <w:p>
      <w:pPr>
        <w:pStyle w:val="Normal"/>
        <w:framePr w:w="13081" w:hAnchor="page" w:vAnchor="page" w:x="280" w:y="7092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TechnipFMC utilizes its website as a channel of distribution of material company information. To learn more</w:t>
      </w:r>
    </w:p>
    <w:p>
      <w:pPr>
        <w:pStyle w:val="Normal"/>
        <w:framePr w:w="7885" w:hAnchor="page" w:vAnchor="page" w:x="280" w:y="659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execution, purposeful innovation, and challenging industry conventions.</w:t>
      </w:r>
    </w:p>
    <w:p>
      <w:pPr>
        <w:pStyle w:val="Normal"/>
        <w:framePr w:w="13087" w:hAnchor="page" w:vAnchor="page" w:x="280" w:y="637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Each of our approximately 20,000 employees is driven by a commitment to our clients’ success, and a culture of strong</w:t>
      </w:r>
    </w:p>
    <w:p>
      <w:pPr>
        <w:pStyle w:val="Normal"/>
        <w:framePr w:w="2112" w:hAnchor="page" w:vAnchor="page" w:x="280" w:y="5891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digital innovation.</w:t>
      </w:r>
    </w:p>
    <w:p>
      <w:pPr>
        <w:pStyle w:val="Normal"/>
        <w:framePr w:w="13085" w:hAnchor="page" w:vAnchor="page" w:x="280" w:y="5666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with our pioneering integrated ecosystems (such as iEPCI™, iFEED™ and iComplete™), technology leadership and</w:t>
      </w:r>
    </w:p>
    <w:p>
      <w:pPr>
        <w:pStyle w:val="Normal"/>
        <w:framePr w:w="13087" w:hAnchor="page" w:vAnchor="page" w:x="280" w:y="544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Organized in two business segments — Subsea and Surface Technologies — we will continue to advance the industry</w:t>
      </w:r>
    </w:p>
    <w:p>
      <w:pPr>
        <w:pStyle w:val="Normal"/>
        <w:framePr w:w="3202" w:hAnchor="page" w:vAnchor="page" w:x="280" w:y="496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energy transition ambitions.</w:t>
      </w:r>
    </w:p>
    <w:p>
      <w:pPr>
        <w:pStyle w:val="Normal"/>
        <w:framePr w:w="13081" w:hAnchor="page" w:vAnchor="page" w:x="280" w:y="4735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helping them unlock new possibilities to develop energy resources while reducing carbon intensity and supporting their</w:t>
      </w:r>
    </w:p>
    <w:p>
      <w:pPr>
        <w:pStyle w:val="Normal"/>
        <w:framePr w:w="13090" w:hAnchor="page" w:vAnchor="page" w:x="280" w:y="4510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With our proprietary technologies and comprehensive solutions, we are transforming our clients’ project economics,</w:t>
      </w:r>
    </w:p>
    <w:p>
      <w:pPr>
        <w:pStyle w:val="Normal"/>
        <w:framePr w:w="3713" w:hAnchor="page" w:vAnchor="page" w:x="280" w:y="402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projects, products, and services.</w:t>
      </w:r>
    </w:p>
    <w:p>
      <w:pPr>
        <w:pStyle w:val="Normal"/>
        <w:framePr w:w="13078" w:hAnchor="page" w:vAnchor="page" w:x="280" w:y="3804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22"/>
          <w:szCs w:val="22"/>
        </w:rPr>
      </w:pPr>
      <w:r>
        <w:rPr>
          <w:rFonts w:ascii="ArialMT" w:hAnsi="ArialMT" w:fareast="ArialMT" w:cs="ArialMT"/>
          <w:color w:val="000000"/>
          <w:w w:val="100"/>
          <w:sz w:val="22"/>
          <w:szCs w:val="22"/>
        </w:rPr>
        <w:t>TechnipFMC is a leading technology provider to the traditional and new energy industries, delivering fully integrated</w:t>
      </w:r>
    </w:p>
    <w:p>
      <w:pPr>
        <w:pStyle w:val="Normal"/>
        <w:framePr w:w="2442" w:hAnchor="page" w:vAnchor="page" w:x="280" w:y="3309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About TechnipFMC</w:t>
      </w:r>
    </w:p>
    <w:p>
      <w:pPr>
        <w:pStyle w:val="Normal"/>
        <w:framePr w:w="646" w:hAnchor="page" w:vAnchor="page" w:x="5936" w:y="2798"/>
        <w:widowControl w:val="off"/>
        <w:autoSpaceDE w:val="off"/>
        <w:autoSpaceDN w:val="off"/>
        <w:spacing w:before="0" w:after="0" w:line="24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2"/>
          <w:szCs w:val="22"/>
        </w:rPr>
      </w:pPr>
      <w:r>
        <w:rPr>
          <w:rFonts w:ascii="Arial-BoldMT" w:hAnsi="Arial-BoldMT" w:fareast="Arial-BoldMT" w:cs="Arial-BoldMT"/>
          <w:color w:val="000000"/>
          <w:w w:val="100"/>
          <w:sz w:val="22"/>
          <w:szCs w:val="22"/>
        </w:rPr>
        <w:t>###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7pt;margin-top:1pt;z-index:-16777004;width:598pt;height:719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14pt;margin-top:25.25pt;z-index:-16777000;width:225.2pt;height:41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50.35pt;margin-top:516.7pt;z-index:-16776996;width:87.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50.35pt;margin-top:592.5pt;z-index:-16776992;width:64.9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331.85pt;margin-top:503.15pt;z-index:-16776988;width:80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331.85pt;margin-top:579.75pt;z-index:-16776984;width:5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</w:p>
    <w:sectPr>
      <w:pgSz w:w="12240" w:h="20160"/>
      <w:pgMar w:top="400" w:right="400" w:bottom="400" w:left="400" w:header="720" w:footer="720"/>
      <w:pgNumType w:start="5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90148000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e00ae22-0000-0000-0000-000000000000}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b4f9ba2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jpeg" Type="http://schemas.openxmlformats.org/officeDocument/2006/relationships/image"/><Relationship Id="rId53" Target="media/image53.png" Type="http://schemas.openxmlformats.org/officeDocument/2006/relationships/image"/><Relationship Id="rId54" Target="media/image54.jpe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styles.xml" Type="http://schemas.openxmlformats.org/officeDocument/2006/relationships/styles"/><Relationship Id="rId6" Target="media/image6.png" Type="http://schemas.openxmlformats.org/officeDocument/2006/relationships/image"/><Relationship Id="rId60" Target="fontTable.xml" Type="http://schemas.openxmlformats.org/officeDocument/2006/relationships/fontTable"/><Relationship Id="rId61" Target="settings.xml" Type="http://schemas.openxmlformats.org/officeDocument/2006/relationships/settings"/><Relationship Id="rId62" Target="webSettings.xml" Type="http://schemas.openxmlformats.org/officeDocument/2006/relationships/webSettings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5</Pages>
  <Words>1290</Words>
  <Characters>7177</Characters>
  <Application>e-iceblue</Application>
  <DocSecurity>0</DocSecurity>
  <Lines>145</Lines>
  <Paragraphs>145</Paragraphs>
  <ScaleCrop>false</ScaleCrop>
  <Company>e-iceblue</Company>
  <LinksUpToDate>false</LinksUpToDate>
  <CharactersWithSpaces>8466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2023-02-01T21:41:58Z</dcterms:created>
  <dc:creator>root</dc:creator>
  <cp:lastModifiedBy>root</cp:lastModifiedBy>
  <dcterms:modified xsi:type="dcterms:W3CDTF">2023-02-01T21:41:58Z</dcterms:modified>
  <cp:revision>1</cp:revision>
</cp:coreProperties>
</file>