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3622" w:hAnchor="page" w:vAnchor="page" w:x="280" w:y="8623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(Continued on the following page(s))</w:t>
      </w:r>
    </w:p>
    <w:p>
      <w:pPr>
        <w:pStyle w:val="Normal"/>
        <w:framePr w:w="2542" w:hAnchor="page" w:vAnchor="page" w:x="280" w:y="7917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(however, see the Notes).</w:t>
      </w:r>
    </w:p>
    <w:p>
      <w:pPr>
        <w:pStyle w:val="Normal"/>
        <w:framePr w:w="13515" w:hAnchor="page" w:vAnchor="page" w:x="280" w:y="7692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Exchange Act of 1934 ("Act") or otherwise subject to the liabilities of that section of the Act but shall be subject to all other provisions of the Act</w:t>
      </w:r>
    </w:p>
    <w:p>
      <w:pPr>
        <w:pStyle w:val="Normal"/>
        <w:framePr w:w="13058" w:hAnchor="page" w:vAnchor="page" w:x="520" w:y="7467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information required in the remainder of this cover page shall not be deemed to be "filed" for the purpose of Section 18 of the Securities</w:t>
      </w:r>
    </w:p>
    <w:p>
      <w:pPr>
        <w:pStyle w:val="Normal"/>
        <w:framePr w:w="11587" w:hAnchor="page" w:vAnchor="page" w:x="280" w:y="7002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and for any subsequent amendment containing information which would alter the disclosures provided in a prior cover page.</w:t>
      </w:r>
    </w:p>
    <w:p>
      <w:pPr>
        <w:pStyle w:val="Normal"/>
        <w:framePr w:w="13648" w:hAnchor="page" w:vAnchor="page" w:x="520" w:y="677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*The remainder of this cover page shall be filled out for a reporting person's initial filing on this form with respect to the subject class of securities,</w:t>
      </w:r>
    </w:p>
    <w:p>
      <w:pPr>
        <w:pStyle w:val="Normal"/>
        <w:framePr w:w="1958" w:hAnchor="page" w:vAnchor="page" w:x="520" w:y="6304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 Rule 13d-1(d)</w:t>
      </w:r>
    </w:p>
    <w:p>
      <w:pPr>
        <w:pStyle w:val="Normal"/>
        <w:framePr w:w="1945" w:hAnchor="page" w:vAnchor="page" w:x="520" w:y="5869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 Rule 13d-1(c)</w:t>
      </w:r>
    </w:p>
    <w:p>
      <w:pPr>
        <w:pStyle w:val="Normal"/>
        <w:framePr w:w="1958" w:hAnchor="page" w:vAnchor="page" w:x="520" w:y="543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☒</w:t>
      </w: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 Rule 13d-1(b)</w:t>
      </w:r>
    </w:p>
    <w:p>
      <w:pPr>
        <w:pStyle w:val="Normal"/>
        <w:framePr w:w="8257" w:hAnchor="page" w:vAnchor="page" w:x="280" w:y="5020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Check the appropriate box to designate the rule pursuant to which this Schedule is filed:</w:t>
      </w:r>
    </w:p>
    <w:p>
      <w:pPr>
        <w:pStyle w:val="Normal"/>
        <w:framePr w:w="7193" w:hAnchor="page" w:vAnchor="page" w:x="280" w:y="4555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Date of Event Which Requires Filing of this Statement: 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19"/>
          <w:szCs w:val="19"/>
        </w:rPr>
        <w:t>December 31, 2021</w:t>
      </w:r>
    </w:p>
    <w:p>
      <w:pPr>
        <w:pStyle w:val="Normal"/>
        <w:framePr w:w="2924" w:hAnchor="page" w:vAnchor="page" w:x="280" w:y="3849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CUSIP Number:  G87110105</w:t>
      </w:r>
    </w:p>
    <w:p>
      <w:pPr>
        <w:pStyle w:val="Normal"/>
        <w:framePr w:w="4254" w:hAnchor="page" w:vAnchor="page" w:x="280" w:y="3143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Title of Class of Securities:  Common Stock</w:t>
      </w:r>
    </w:p>
    <w:p>
      <w:pPr>
        <w:pStyle w:val="Normal"/>
        <w:framePr w:w="3334" w:hAnchor="page" w:vAnchor="page" w:x="280" w:y="2438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Name of issuer:  TechnipFMC plc</w:t>
      </w:r>
    </w:p>
    <w:p>
      <w:pPr>
        <w:pStyle w:val="Normal"/>
        <w:framePr w:w="2248" w:hAnchor="page" w:vAnchor="page" w:x="5278" w:y="1492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(Amendment No.: 4)*</w:t>
      </w:r>
    </w:p>
    <w:p>
      <w:pPr>
        <w:pStyle w:val="Normal"/>
        <w:framePr w:w="4191" w:hAnchor="page" w:vAnchor="page" w:x="4469" w:y="1267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Under the Securities Exchange Act of 1934</w:t>
      </w:r>
    </w:p>
    <w:p>
      <w:pPr>
        <w:pStyle w:val="Normal"/>
        <w:framePr w:w="1513" w:hAnchor="page" w:vAnchor="page" w:x="5584" w:y="84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Schedule 13G</w:t>
      </w:r>
    </w:p>
    <w:p>
      <w:pPr>
        <w:pStyle w:val="Normal"/>
        <w:framePr w:w="2483" w:hAnchor="page" w:vAnchor="page" w:x="5180" w:y="381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Washington, D.C. 20549</w:t>
      </w:r>
    </w:p>
    <w:p>
      <w:pPr>
        <w:pStyle w:val="Normal"/>
        <w:framePr w:w="4896" w:hAnchor="page" w:vAnchor="page" w:x="4175" w:y="15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467.15pt;z-index:-1677720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</w:p>
    <w:p>
      <w:pPr>
        <w:pStyle w:val="Normal"/>
        <w:framePr w:w="469" w:hAnchor="page" w:vAnchor="page" w:x="520" w:y="13202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IA</w:t>
      </w:r>
    </w:p>
    <w:p>
      <w:pPr>
        <w:pStyle w:val="Normal"/>
        <w:framePr w:w="3795" w:hAnchor="page" w:vAnchor="page" w:x="280" w:y="1273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12.  TYPE OF REPORTING PERSON</w:t>
      </w:r>
    </w:p>
    <w:p>
      <w:pPr>
        <w:pStyle w:val="Normal"/>
        <w:framePr w:w="817" w:hAnchor="page" w:vAnchor="page" w:x="520" w:y="12271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5.22%</w:t>
      </w:r>
    </w:p>
    <w:p>
      <w:pPr>
        <w:pStyle w:val="Normal"/>
        <w:framePr w:w="6876" w:hAnchor="page" w:vAnchor="page" w:x="280" w:y="1180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11.  PERCENT OF CLASS REPRESENTED BY AMOUNT IN ROW 9</w:t>
      </w:r>
    </w:p>
    <w:p>
      <w:pPr>
        <w:pStyle w:val="Normal"/>
        <w:framePr w:w="621" w:hAnchor="page" w:vAnchor="page" w:x="520" w:y="11340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N/A</w:t>
      </w:r>
    </w:p>
    <w:p>
      <w:pPr>
        <w:pStyle w:val="Normal"/>
        <w:framePr w:w="9582" w:hAnchor="page" w:vAnchor="page" w:x="280" w:y="10875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10.  CHECK BOX IF THE AGGREGATE AMOUNT IN ROW (9) EXCLUDES CERTAIN SHARES</w:t>
      </w:r>
    </w:p>
    <w:p>
      <w:pPr>
        <w:pStyle w:val="Normal"/>
        <w:framePr w:w="1254" w:hAnchor="page" w:vAnchor="page" w:x="520" w:y="10409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23,516,585</w:t>
      </w:r>
    </w:p>
    <w:p>
      <w:pPr>
        <w:pStyle w:val="Normal"/>
        <w:framePr w:w="8805" w:hAnchor="page" w:vAnchor="page" w:x="280" w:y="9944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9.  AGGREGATE AMOUNT BENEFICIALLY OWNED BY EACH REPORTING PERSON</w:t>
      </w:r>
    </w:p>
    <w:p>
      <w:pPr>
        <w:pStyle w:val="Normal"/>
        <w:framePr w:w="1140" w:hAnchor="page" w:vAnchor="page" w:x="520" w:y="9479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3,809,742</w:t>
      </w:r>
    </w:p>
    <w:p>
      <w:pPr>
        <w:pStyle w:val="Normal"/>
        <w:framePr w:w="3718" w:hAnchor="page" w:vAnchor="page" w:x="280" w:y="9013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8.  SHARED DISPOSITIVE POWER</w:t>
      </w:r>
    </w:p>
    <w:p>
      <w:pPr>
        <w:pStyle w:val="Normal"/>
        <w:framePr w:w="1254" w:hAnchor="page" w:vAnchor="page" w:x="520" w:y="8548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19,706,843</w:t>
      </w:r>
    </w:p>
    <w:p>
      <w:pPr>
        <w:pStyle w:val="Normal"/>
        <w:framePr w:w="3376" w:hAnchor="page" w:vAnchor="page" w:x="280" w:y="8083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7.  SOLE DISPOSITIVE POWER</w:t>
      </w:r>
    </w:p>
    <w:p>
      <w:pPr>
        <w:pStyle w:val="Normal"/>
        <w:framePr w:w="1140" w:hAnchor="page" w:vAnchor="page" w:x="520" w:y="7617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2,854,697</w:t>
      </w:r>
    </w:p>
    <w:p>
      <w:pPr>
        <w:pStyle w:val="Normal"/>
        <w:framePr w:w="3211" w:hAnchor="page" w:vAnchor="page" w:x="280" w:y="7152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6.  SHARED VOTING POWER</w:t>
      </w:r>
    </w:p>
    <w:p>
      <w:pPr>
        <w:pStyle w:val="Normal"/>
        <w:framePr w:w="342" w:hAnchor="page" w:vAnchor="page" w:x="520" w:y="668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0</w:t>
      </w:r>
    </w:p>
    <w:p>
      <w:pPr>
        <w:pStyle w:val="Normal"/>
        <w:framePr w:w="2869" w:hAnchor="page" w:vAnchor="page" w:x="280" w:y="6221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5.  SOLE VOTING POWER</w:t>
      </w:r>
    </w:p>
    <w:p>
      <w:pPr>
        <w:pStyle w:val="Normal"/>
        <w:framePr w:w="9238" w:hAnchor="page" w:vAnchor="page" w:x="280" w:y="575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(For questions 5-8, report the number of shares beneficially owned by each reporting person with:)</w:t>
      </w:r>
    </w:p>
    <w:p>
      <w:pPr>
        <w:pStyle w:val="Normal"/>
        <w:framePr w:w="1444" w:hAnchor="page" w:vAnchor="page" w:x="520" w:y="5290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Pennsylvania</w:t>
      </w:r>
    </w:p>
    <w:p>
      <w:pPr>
        <w:pStyle w:val="Normal"/>
        <w:framePr w:w="5136" w:hAnchor="page" w:vAnchor="page" w:x="280" w:y="4825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4.  CITIZENSHIP OF PLACE OF ORGANIZATION</w:t>
      </w:r>
    </w:p>
    <w:p>
      <w:pPr>
        <w:pStyle w:val="Normal"/>
        <w:framePr w:w="2086" w:hAnchor="page" w:vAnchor="page" w:x="280" w:y="3879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3.  SEC USE ONLY</w:t>
      </w:r>
    </w:p>
    <w:p>
      <w:pPr>
        <w:pStyle w:val="Normal"/>
        <w:framePr w:w="507" w:hAnchor="page" w:vAnchor="page" w:x="388" w:y="3414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A. </w:t>
      </w:r>
    </w:p>
    <w:p>
      <w:pPr>
        <w:pStyle w:val="Normal"/>
        <w:framePr w:w="716" w:hAnchor="page" w:vAnchor="page" w:x="5327" w:y="3414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B.  X</w:t>
      </w:r>
    </w:p>
    <w:p>
      <w:pPr>
        <w:pStyle w:val="Normal"/>
        <w:framePr w:w="7005" w:hAnchor="page" w:vAnchor="page" w:x="280" w:y="2948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2.  CHECK THE APPROPRIATE [LINE] IF A MEMBER OF A GROUP</w:t>
      </w:r>
    </w:p>
    <w:p>
      <w:pPr>
        <w:pStyle w:val="Normal"/>
        <w:framePr w:w="3445" w:hAnchor="page" w:vAnchor="page" w:x="520" w:y="2483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Vanguard Group - 23-1945930</w:t>
      </w:r>
    </w:p>
    <w:p>
      <w:pPr>
        <w:pStyle w:val="Normal"/>
        <w:framePr w:w="5175" w:hAnchor="page" w:vAnchor="page" w:x="520" w:y="2017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I.R.S. IDENTIFICATION NO. OF ABOVE PERSON</w:t>
      </w:r>
    </w:p>
    <w:p>
      <w:pPr>
        <w:pStyle w:val="Normal"/>
        <w:framePr w:w="3844" w:hAnchor="page" w:vAnchor="page" w:x="280" w:y="1792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1.  NAME OF REPORTING PERSON </w:t>
      </w:r>
    </w:p>
    <w:p>
      <w:pPr>
        <w:pStyle w:val="Normal"/>
        <w:framePr w:w="2513" w:hAnchor="page" w:vAnchor="page" w:x="280" w:y="1087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CUSIP No.:  G87110105</w:t>
      </w:r>
    </w:p>
    <w:p>
      <w:pPr>
        <w:pStyle w:val="Normal"/>
        <w:framePr w:w="621" w:hAnchor="page" w:vAnchor="page" w:x="5957" w:y="66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13G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7pt;margin-top:1pt;z-index:-1677720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3pt;margin-top:696.1pt;z-index:-1677720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278.8pt;margin-top:178.9pt;z-index:-16777196;width:8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</w:p>
    <w:p>
      <w:pPr>
        <w:pStyle w:val="Normal"/>
        <w:framePr w:w="2210" w:hAnchor="page" w:vAnchor="page" w:x="280" w:y="10875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(b) Percent of Class:</w:t>
      </w:r>
    </w:p>
    <w:p>
      <w:pPr>
        <w:pStyle w:val="Normal"/>
        <w:framePr w:w="3349" w:hAnchor="page" w:vAnchor="page" w:x="280" w:y="10409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  (a) Amount Beneficially Owned:</w:t>
      </w:r>
    </w:p>
    <w:p>
      <w:pPr>
        <w:pStyle w:val="Normal"/>
        <w:framePr w:w="2071" w:hAnchor="page" w:vAnchor="page" w:x="280" w:y="9944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4 - Ownership:</w:t>
      </w:r>
    </w:p>
    <w:p>
      <w:pPr>
        <w:pStyle w:val="Normal"/>
        <w:framePr w:w="11214" w:hAnchor="page" w:vAnchor="page" w:x="520" w:y="9479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This statement is being filed pursuant to Rule 13d-1.  An investment adviser in accordance with §240.13d-1(b)(1)(ii)(E).</w:t>
      </w:r>
    </w:p>
    <w:p>
      <w:pPr>
        <w:pStyle w:val="Normal"/>
        <w:framePr w:w="2371" w:hAnchor="page" w:vAnchor="page" w:x="280" w:y="9013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3 - Type of Filing:</w:t>
      </w:r>
    </w:p>
    <w:p>
      <w:pPr>
        <w:pStyle w:val="Normal"/>
        <w:framePr w:w="1296" w:hAnchor="page" w:vAnchor="page" w:x="520" w:y="8548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G87110105</w:t>
      </w:r>
    </w:p>
    <w:p>
      <w:pPr>
        <w:pStyle w:val="Normal"/>
        <w:framePr w:w="2710" w:hAnchor="page" w:vAnchor="page" w:x="280" w:y="8083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2(e) - CUSIP Number</w:t>
      </w:r>
    </w:p>
    <w:p>
      <w:pPr>
        <w:pStyle w:val="Normal"/>
        <w:framePr w:w="1653" w:hAnchor="page" w:vAnchor="page" w:x="520" w:y="7617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Common Stock</w:t>
      </w:r>
    </w:p>
    <w:p>
      <w:pPr>
        <w:pStyle w:val="Normal"/>
        <w:framePr w:w="3760" w:hAnchor="page" w:vAnchor="page" w:x="280" w:y="7152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2(d) - Title of Class of Securities:</w:t>
      </w:r>
    </w:p>
    <w:p>
      <w:pPr>
        <w:pStyle w:val="Normal"/>
        <w:framePr w:w="1444" w:hAnchor="page" w:vAnchor="page" w:x="520" w:y="668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Pennsylvania</w:t>
      </w:r>
    </w:p>
    <w:p>
      <w:pPr>
        <w:pStyle w:val="Normal"/>
        <w:framePr w:w="2400" w:hAnchor="page" w:vAnchor="page" w:x="280" w:y="6221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2(c) – Citizenship:</w:t>
      </w:r>
    </w:p>
    <w:p>
      <w:pPr>
        <w:pStyle w:val="Normal"/>
        <w:framePr w:w="1999" w:hAnchor="page" w:vAnchor="page" w:x="520" w:y="575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Malvern, PA 19355</w:t>
      </w:r>
    </w:p>
    <w:p>
      <w:pPr>
        <w:pStyle w:val="Normal"/>
        <w:framePr w:w="2058" w:hAnchor="page" w:vAnchor="page" w:x="520" w:y="5530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100 Vanguard Blvd.</w:t>
      </w:r>
    </w:p>
    <w:p>
      <w:pPr>
        <w:pStyle w:val="Normal"/>
        <w:framePr w:w="6717" w:hAnchor="page" w:vAnchor="page" w:x="280" w:y="5065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2(b) – Address of Principal Business Office or, if none, residence:</w:t>
      </w:r>
    </w:p>
    <w:p>
      <w:pPr>
        <w:pStyle w:val="Normal"/>
        <w:framePr w:w="3445" w:hAnchor="page" w:vAnchor="page" w:x="520" w:y="4600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Vanguard Group - 23-1945930</w:t>
      </w:r>
    </w:p>
    <w:p>
      <w:pPr>
        <w:pStyle w:val="Normal"/>
        <w:framePr w:w="3394" w:hAnchor="page" w:vAnchor="page" w:x="280" w:y="4134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2(a) - Name of Person Filing:</w:t>
      </w:r>
    </w:p>
    <w:p>
      <w:pPr>
        <w:pStyle w:val="Normal"/>
        <w:framePr w:w="4714" w:hAnchor="page" w:vAnchor="page" w:x="520" w:y="3669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Newcastle-upon-Tyne, Greater London NE6 3PL</w:t>
      </w:r>
    </w:p>
    <w:p>
      <w:pPr>
        <w:pStyle w:val="Normal"/>
        <w:framePr w:w="3410" w:hAnchor="page" w:vAnchor="page" w:x="520" w:y="3444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Hadrian House, Wincomblee Road</w:t>
      </w:r>
    </w:p>
    <w:p>
      <w:pPr>
        <w:pStyle w:val="Normal"/>
        <w:framePr w:w="5634" w:hAnchor="page" w:vAnchor="page" w:x="280" w:y="2978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1(b) - Address of Issuer's Principal Executive Offices:</w:t>
      </w:r>
    </w:p>
    <w:p>
      <w:pPr>
        <w:pStyle w:val="Normal"/>
        <w:framePr w:w="1776" w:hAnchor="page" w:vAnchor="page" w:x="520" w:y="2513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TechnipFMC plc</w:t>
      </w:r>
    </w:p>
    <w:p>
      <w:pPr>
        <w:pStyle w:val="Normal"/>
        <w:framePr w:w="2716" w:hAnchor="page" w:vAnchor="page" w:x="280" w:y="2047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1(a) - Name of Issuer:</w:t>
      </w:r>
    </w:p>
    <w:p>
      <w:pPr>
        <w:pStyle w:val="Normal"/>
        <w:framePr w:w="3236" w:hAnchor="page" w:vAnchor="page" w:x="4867" w:y="1582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Under the Securities Act of 1934</w:t>
      </w:r>
    </w:p>
    <w:p>
      <w:pPr>
        <w:pStyle w:val="Normal"/>
        <w:framePr w:w="1513" w:hAnchor="page" w:vAnchor="page" w:x="5584" w:y="1357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Schedule 13G</w:t>
      </w:r>
    </w:p>
    <w:p>
      <w:pPr>
        <w:pStyle w:val="Normal"/>
        <w:framePr w:w="2483" w:hAnchor="page" w:vAnchor="page" w:x="5180" w:y="891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Washington, D.C. 20549</w:t>
      </w:r>
    </w:p>
    <w:p>
      <w:pPr>
        <w:pStyle w:val="Normal"/>
        <w:framePr w:w="4896" w:hAnchor="page" w:vAnchor="page" w:x="4175" w:y="66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SECURITIES AND EXCHANGE COMMISSION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7pt;margin-top:1pt;z-index:-1677719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13pt;margin-top:579.75pt;z-index:-16777188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13pt;margin-top:110.6pt;z-index:-16777184;width:105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13pt;margin-top:157.15pt;z-index:-16777180;width:227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13pt;margin-top:214.95pt;z-index:-16777176;width:133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pt;margin-top:261.45pt;z-index:-16777172;width:272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319.25pt;z-index:-16777168;width:9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365.8pt;z-index:-16777164;width:149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3pt;margin-top:412.35pt;z-index:-16777160;width:105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458.9pt;z-index:-16777156;width:91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3pt;margin-top:505.4pt;z-index:-16777152;width:78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</w:p>
    <w:p>
      <w:pPr>
        <w:pStyle w:val="Normal"/>
        <w:framePr w:w="1739" w:hAnchor="page" w:vAnchor="page" w:x="4604" w:y="132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Title:  Principal</w:t>
      </w:r>
    </w:p>
    <w:p>
      <w:pPr>
        <w:pStyle w:val="Normal"/>
        <w:framePr w:w="3174" w:hAnchor="page" w:vAnchor="page" w:x="4604" w:y="129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Name: Christine M. Buchanan</w:t>
      </w:r>
    </w:p>
    <w:p>
      <w:pPr>
        <w:pStyle w:val="Normal"/>
        <w:framePr w:w="3101" w:hAnchor="page" w:vAnchor="page" w:x="4604" w:y="127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 /s/ Christine M. Buchanan</w:t>
      </w:r>
    </w:p>
    <w:p>
      <w:pPr>
        <w:pStyle w:val="Normal"/>
        <w:framePr w:w="2400" w:hAnchor="page" w:vAnchor="page" w:x="280" w:y="12271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Date:  February 9, 2022</w:t>
      </w:r>
    </w:p>
    <w:p>
      <w:pPr>
        <w:pStyle w:val="Normal"/>
        <w:framePr w:w="918" w:hAnchor="page" w:vAnchor="page" w:x="280" w:y="1180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correct.</w:t>
      </w:r>
    </w:p>
    <w:p>
      <w:pPr>
        <w:pStyle w:val="Normal"/>
        <w:framePr w:w="13480" w:hAnchor="page" w:vAnchor="page" w:x="520" w:y="11580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After reasonable inquiry and to the best of my knowledge and belief, I certify that the information set forth in this statement is true, complete and</w:t>
      </w:r>
    </w:p>
    <w:p>
      <w:pPr>
        <w:pStyle w:val="Normal"/>
        <w:framePr w:w="1102" w:hAnchor="page" w:vAnchor="page" w:x="280" w:y="11115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Signature</w:t>
      </w:r>
    </w:p>
    <w:p>
      <w:pPr>
        <w:pStyle w:val="Normal"/>
        <w:framePr w:w="4772" w:hAnchor="page" w:vAnchor="page" w:x="280" w:y="10650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connection with a nomination under §240.14a-11.</w:t>
      </w:r>
    </w:p>
    <w:p>
      <w:pPr>
        <w:pStyle w:val="Normal"/>
        <w:framePr w:w="13703" w:hAnchor="page" w:vAnchor="page" w:x="280" w:y="10424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securities and were not acquired in connection with or as a participant in any transaction having that purpose or effect, other than activities solely in</w:t>
      </w:r>
    </w:p>
    <w:p>
      <w:pPr>
        <w:pStyle w:val="Normal"/>
        <w:framePr w:w="14071" w:hAnchor="page" w:vAnchor="page" w:x="280" w:y="10199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course of business and were not acquired and are not held for the purpose of or with the effect of changing or influencing the control of the issuer of the</w:t>
      </w:r>
    </w:p>
    <w:p>
      <w:pPr>
        <w:pStyle w:val="Normal"/>
        <w:framePr w:w="13523" w:hAnchor="page" w:vAnchor="page" w:x="520" w:y="9974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By signing below I certify that, to the best of my knowledge and belief, the securities referred to above were acquired and are held in the ordinary</w:t>
      </w:r>
    </w:p>
    <w:p>
      <w:pPr>
        <w:pStyle w:val="Normal"/>
        <w:framePr w:w="2336" w:hAnchor="page" w:vAnchor="page" w:x="280" w:y="9509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10 - Certification:</w:t>
      </w:r>
    </w:p>
    <w:p>
      <w:pPr>
        <w:pStyle w:val="Normal"/>
        <w:framePr w:w="1564" w:hAnchor="page" w:vAnchor="page" w:x="520" w:y="9043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 applicable</w:t>
      </w:r>
    </w:p>
    <w:p>
      <w:pPr>
        <w:pStyle w:val="Normal"/>
        <w:framePr w:w="3920" w:hAnchor="page" w:vAnchor="page" w:x="280" w:y="8578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9 - Notice of Dissolution of Group:</w:t>
      </w:r>
    </w:p>
    <w:p>
      <w:pPr>
        <w:pStyle w:val="Normal"/>
        <w:framePr w:w="1564" w:hAnchor="page" w:vAnchor="page" w:x="520" w:y="8113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 applicable</w:t>
      </w:r>
    </w:p>
    <w:p>
      <w:pPr>
        <w:pStyle w:val="Normal"/>
        <w:framePr w:w="6047" w:hAnchor="page" w:vAnchor="page" w:x="280" w:y="7647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8 - Identification and Classification of Members of Group:</w:t>
      </w:r>
    </w:p>
    <w:p>
      <w:pPr>
        <w:pStyle w:val="Normal"/>
        <w:framePr w:w="1564" w:hAnchor="page" w:vAnchor="page" w:x="520" w:y="7182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Not applicable</w:t>
      </w:r>
    </w:p>
    <w:p>
      <w:pPr>
        <w:pStyle w:val="Normal"/>
        <w:framePr w:w="13196" w:hAnchor="page" w:vAnchor="page" w:x="280" w:y="671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7 - Identification and Classification of the Subsidiary Which Acquired The Security Being Reported on by the Parent Holding Company:</w:t>
      </w:r>
    </w:p>
    <w:p>
      <w:pPr>
        <w:pStyle w:val="Normal"/>
        <w:framePr w:w="7474" w:hAnchor="page" w:vAnchor="page" w:x="520" w:y="6251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No one other person's interest in the securities reported herein is more than 5%.</w:t>
      </w:r>
    </w:p>
    <w:p>
      <w:pPr>
        <w:pStyle w:val="Normal"/>
        <w:framePr w:w="13878" w:hAnchor="page" w:vAnchor="page" w:x="280" w:y="578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accounts, have the right to receive or the power to direct the receipt of dividends from, or the proceeds from the sale of, the securities reported herein.</w:t>
      </w:r>
    </w:p>
    <w:p>
      <w:pPr>
        <w:pStyle w:val="Normal"/>
        <w:framePr w:w="13281" w:hAnchor="page" w:vAnchor="page" w:x="520" w:y="5560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The Vanguard Group, Inc.'s clients, including investment companies registered under the Investment Company Act of 1940 and other managed</w:t>
      </w:r>
    </w:p>
    <w:p>
      <w:pPr>
        <w:pStyle w:val="Normal"/>
        <w:framePr w:w="7275" w:hAnchor="page" w:vAnchor="page" w:x="280" w:y="5095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6 - Ownership of More Than Five Percent on Behalf of Another Person:</w:t>
      </w:r>
    </w:p>
    <w:p>
      <w:pPr>
        <w:pStyle w:val="Normal"/>
        <w:framePr w:w="5333" w:hAnchor="page" w:vAnchor="page" w:x="280" w:y="4623"/>
        <w:widowControl w:val="off"/>
        <w:autoSpaceDE w:val="off"/>
        <w:autoSpaceDN w:val="off"/>
        <w:spacing w:before="0" w:after="0" w:line="221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percent of the class of securities, check the following </w:t>
      </w:r>
      <w:r>
        <w:rPr>
          <w:rFonts w:ascii="DejaVuSans" w:hAnsi="DejaVuSans" w:fareast="DejaVuSans" w:cs="DejaVuSans"/>
          <w:color w:val="000000"/>
          <w:w w:val="100"/>
          <w:sz w:val="19"/>
          <w:szCs w:val="19"/>
        </w:rPr>
        <w:t>☐</w:t>
      </w:r>
    </w:p>
    <w:p>
      <w:pPr>
        <w:pStyle w:val="Normal"/>
        <w:framePr w:w="13555" w:hAnchor="page" w:vAnchor="page" w:x="520" w:y="4389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If this statement is being filed to report the fact that as of the date hereof the reporting person has ceased to be the beneficial owner of more than 5</w:t>
      </w:r>
    </w:p>
    <w:p>
      <w:pPr>
        <w:pStyle w:val="Normal"/>
        <w:framePr w:w="5199" w:hAnchor="page" w:vAnchor="page" w:x="280" w:y="3924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Item 5 - Ownership of Five Percent or Less of a Class:</w:t>
      </w:r>
    </w:p>
    <w:p>
      <w:pPr>
        <w:pStyle w:val="Normal"/>
        <w:framePr w:w="10882" w:hAnchor="page" w:vAnchor="page" w:x="520" w:y="3459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The responses to questions 5 through 9 and 11 on the cover page(s) are incorporated by reference into this Item 4.  </w:t>
      </w:r>
    </w:p>
    <w:p>
      <w:pPr>
        <w:pStyle w:val="Normal"/>
        <w:framePr w:w="1279" w:hAnchor="page" w:vAnchor="page" w:x="280" w:y="2993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Comments:</w:t>
      </w:r>
    </w:p>
    <w:p>
      <w:pPr>
        <w:pStyle w:val="Normal"/>
        <w:framePr w:w="5743" w:hAnchor="page" w:vAnchor="page" w:x="520" w:y="2528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(iv)  shared power to dispose or to direct the disposition of:  </w:t>
      </w:r>
    </w:p>
    <w:p>
      <w:pPr>
        <w:pStyle w:val="Normal"/>
        <w:framePr w:w="5775" w:hAnchor="page" w:vAnchor="page" w:x="520" w:y="2062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(iii)  sole power to dispose of or to direct the disposition of:  </w:t>
      </w:r>
    </w:p>
    <w:p>
      <w:pPr>
        <w:pStyle w:val="Normal"/>
        <w:framePr w:w="4211" w:hAnchor="page" w:vAnchor="page" w:x="520" w:y="1597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(ii)  shared power to vote or direct to vote:  </w:t>
      </w:r>
    </w:p>
    <w:p>
      <w:pPr>
        <w:pStyle w:val="Normal"/>
        <w:framePr w:w="3919" w:hAnchor="page" w:vAnchor="page" w:x="520" w:y="1132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 xml:space="preserve">(i)  sole power to vote or direct to vote:  </w:t>
      </w:r>
    </w:p>
    <w:p>
      <w:pPr>
        <w:pStyle w:val="Normal"/>
        <w:framePr w:w="4875" w:hAnchor="page" w:vAnchor="page" w:x="520" w:y="666"/>
        <w:widowControl w:val="off"/>
        <w:autoSpaceDE w:val="off"/>
        <w:autoSpaceDN w:val="off"/>
        <w:spacing w:before="0" w:after="0" w:line="21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9"/>
          <w:szCs w:val="19"/>
        </w:rPr>
        <w:t>(c)  Number of shares as to which such person has: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7pt;margin-top:1pt;z-index:-16777148;width:598pt;height:682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157.9pt;z-index:-16777144;width:4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pt;margin-top:204.4pt;z-index:-16777140;width:209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13pt;margin-top:262.95pt;z-index:-16777136;width:295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pt;margin-top:344.05pt;z-index:-16777132;width:54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3pt;margin-top:390.6pt;z-index:-16777128;width:244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3pt;margin-top:437.1pt;z-index:-16777124;width:155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13pt;margin-top:483.65pt;z-index:-16777120;width:89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3pt;margin-top:563.95pt;z-index:-16777116;width:38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240.85pt;margin-top:645.8pt;z-index:-16777112;width:109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</w:p>
    <w:sectPr>
      <w:pgSz w:w="12240" w:h="20160"/>
      <w:pgMar w:top="400" w:right="400" w:bottom="400" w:left="400" w:header="720" w:footer="720"/>
      <w:pgNumType w:start="4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be00ae22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1" Target="media/image11.png" Type="http://schemas.openxmlformats.org/officeDocument/2006/relationships/image"/><Relationship Id="rId12" Target="media/image12.png" Type="http://schemas.openxmlformats.org/officeDocument/2006/relationships/image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styles.xml" Type="http://schemas.openxmlformats.org/officeDocument/2006/relationships/styles"/><Relationship Id="rId28" Target="fontTable.xml" Type="http://schemas.openxmlformats.org/officeDocument/2006/relationships/fontTable"/><Relationship Id="rId29" Target="settings.xml" Type="http://schemas.openxmlformats.org/officeDocument/2006/relationships/settings"/><Relationship Id="rId3" Target="media/image3.png" Type="http://schemas.openxmlformats.org/officeDocument/2006/relationships/image"/><Relationship Id="rId30" Target="webSettings.xml" Type="http://schemas.openxmlformats.org/officeDocument/2006/relationships/webSettings"/><Relationship Id="rId4" Target="media/image4.png" Type="http://schemas.openxmlformats.org/officeDocument/2006/relationships/image"/><Relationship Id="rId5" Target="media/image5.png" Type="http://schemas.openxmlformats.org/officeDocument/2006/relationships/image"/><Relationship Id="rId6" Target="media/image6.png" Type="http://schemas.openxmlformats.org/officeDocument/2006/relationships/image"/><Relationship Id="rId7" Target="media/image7.png" Type="http://schemas.openxmlformats.org/officeDocument/2006/relationships/image"/><Relationship Id="rId8" Target="media/image8.png" Type="http://schemas.openxmlformats.org/officeDocument/2006/relationships/image"/><Relationship Id="rId9" Target="media/image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4</Pages>
  <Words>805</Words>
  <Characters>4004</Characters>
  <Application>e-iceblue</Application>
  <DocSecurity>0</DocSecurity>
  <Lines>104</Lines>
  <Paragraphs>104</Paragraphs>
  <ScaleCrop>false</ScaleCrop>
  <Company>e-iceblue</Company>
  <LinksUpToDate>false</LinksUpToDate>
  <CharactersWithSpaces>4741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2022-02-10T14:37:05Z</dcterms:created>
  <dc:creator>root</dc:creator>
  <cp:lastModifiedBy>root</cp:lastModifiedBy>
  <dcterms:modified xsi:type="dcterms:W3CDTF">2022-02-10T14:37:05Z</dcterms:modified>
  <cp:revision>1</cp:revision>
</cp:coreProperties>
</file>