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6088" w:hAnchor="page" w:vAnchor="page" w:x="280" w:y="99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Act but shall be subject to all other provisions of the Act.</w:t>
      </w:r>
    </w:p>
    <w:p>
      <w:pPr>
        <w:pStyle w:val="Normal"/>
        <w:framePr w:w="14122" w:hAnchor="page" w:vAnchor="page" w:x="280" w:y="96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be “filed” for the purpose of Section 18 of the Securities Exchange Act of 1934 (“Act”) or otherwise subject to the liabilities of that section of</w:t>
      </w:r>
    </w:p>
    <w:p>
      <w:pPr>
        <w:pStyle w:val="Normal"/>
        <w:framePr w:w="14234" w:hAnchor="page" w:vAnchor="page" w:x="280" w:y="94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information required in the remainder of this cover page (except any items to which the form provides a cross-reference) shall not be deemed</w:t>
      </w:r>
    </w:p>
    <w:p>
      <w:pPr>
        <w:pStyle w:val="Normal"/>
        <w:framePr w:w="4875" w:hAnchor="page" w:vAnchor="page" w:x="747" w:y="89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Schedule is filed pursuant to Rule 13d-1(b)</w:t>
      </w:r>
    </w:p>
    <w:p>
      <w:pPr>
        <w:pStyle w:val="Normal"/>
        <w:framePr w:w="8695" w:hAnchor="page" w:vAnchor="page" w:x="280" w:y="84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to designate the rule pursuant to which this Schedule is filed:</w:t>
      </w:r>
    </w:p>
    <w:p>
      <w:pPr>
        <w:pStyle w:val="Normal"/>
        <w:framePr w:w="4774" w:hAnchor="page" w:vAnchor="page" w:x="4211" w:y="74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(Date of Event Which Requires Filing of this Statement)</w:t>
      </w:r>
    </w:p>
    <w:p>
      <w:pPr>
        <w:pStyle w:val="Normal"/>
        <w:framePr w:w="2176" w:hAnchor="page" w:vAnchor="page" w:x="5313" w:y="71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 2022</w:t>
      </w:r>
    </w:p>
    <w:p>
      <w:pPr>
        <w:pStyle w:val="Normal"/>
        <w:framePr w:w="1626" w:hAnchor="page" w:vAnchor="page" w:x="5522" w:y="651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(CUSIP Number)</w:t>
      </w:r>
    </w:p>
    <w:p>
      <w:pPr>
        <w:pStyle w:val="Normal"/>
        <w:framePr w:w="1374" w:hAnchor="page" w:vAnchor="page" w:x="5648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G87110105</w:t>
      </w:r>
    </w:p>
    <w:p>
      <w:pPr>
        <w:pStyle w:val="Normal"/>
        <w:framePr w:w="2449" w:hAnchor="page" w:vAnchor="page" w:x="5180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(Title of Class of Securities)</w:t>
      </w:r>
    </w:p>
    <w:p>
      <w:pPr>
        <w:pStyle w:val="Normal"/>
        <w:framePr w:w="1821" w:hAnchor="page" w:vAnchor="page" w:x="5461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Common Stock</w:t>
      </w:r>
    </w:p>
    <w:p>
      <w:pPr>
        <w:pStyle w:val="Normal"/>
        <w:framePr w:w="1947" w:hAnchor="page" w:vAnchor="page" w:x="5409" w:y="46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(Name of Issuer)</w:t>
      </w:r>
    </w:p>
    <w:p>
      <w:pPr>
        <w:pStyle w:val="Normal"/>
        <w:framePr w:w="3978" w:hAnchor="page" w:vAnchor="page" w:x="4532" w:y="4181"/>
        <w:widowControl w:val="off"/>
        <w:autoSpaceDE w:val="off"/>
        <w:autoSpaceDN w:val="off"/>
        <w:spacing w:before="0" w:after="0" w:line="488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4"/>
          <w:szCs w:val="4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4"/>
          <w:szCs w:val="44"/>
        </w:rPr>
        <w:t>TechnipFMC plc</w:t>
      </w:r>
    </w:p>
    <w:p>
      <w:pPr>
        <w:pStyle w:val="Normal"/>
        <w:framePr w:w="5570" w:hAnchor="page" w:vAnchor="page" w:x="3708" w:y="30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Under the Securities and Exchange Act of 1934</w:t>
      </w:r>
    </w:p>
    <w:p>
      <w:pPr>
        <w:pStyle w:val="Normal"/>
        <w:framePr w:w="1989" w:hAnchor="page" w:vAnchor="page" w:x="5336" w:y="24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Amendment #1</w:t>
      </w:r>
    </w:p>
    <w:p>
      <w:pPr>
        <w:pStyle w:val="Normal"/>
        <w:framePr w:w="3380" w:hAnchor="page" w:vAnchor="page" w:x="4763" w:y="209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SCHEDULE 13G</w:t>
      </w:r>
    </w:p>
    <w:p>
      <w:pPr>
        <w:pStyle w:val="Normal"/>
        <w:framePr w:w="2987" w:hAnchor="page" w:vAnchor="page" w:x="4882" w:y="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500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.7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11.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3.45pt;margin-top:85.05pt;z-index:-16777200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3.45pt;margin-top:189.4pt;z-index:-16777196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3.45pt;margin-top:404.1pt;z-index:-16777192;width:12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521.95pt;z-index:-167771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525.7pt;z-index:-1677718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</w:p>
    <w:p>
      <w:pPr>
        <w:pStyle w:val="Normal"/>
        <w:framePr w:w="694" w:hAnchor="page" w:vAnchor="page" w:x="926" w:y="10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HC</w:t>
      </w:r>
    </w:p>
    <w:p>
      <w:pPr>
        <w:pStyle w:val="Normal"/>
        <w:framePr w:w="560" w:hAnchor="page" w:vAnchor="page" w:x="455" w:y="100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12)</w:t>
      </w:r>
    </w:p>
    <w:p>
      <w:pPr>
        <w:pStyle w:val="Normal"/>
        <w:framePr w:w="2826" w:hAnchor="page" w:vAnchor="page" w:x="926" w:y="100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Type of Reporting Person</w:t>
      </w:r>
    </w:p>
    <w:p>
      <w:pPr>
        <w:pStyle w:val="Normal"/>
        <w:framePr w:w="980" w:hAnchor="page" w:vAnchor="page" w:x="926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4.33%</w:t>
      </w:r>
    </w:p>
    <w:p>
      <w:pPr>
        <w:pStyle w:val="Normal"/>
        <w:framePr w:w="551" w:hAnchor="page" w:vAnchor="page" w:x="455" w:y="9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11)</w:t>
      </w:r>
    </w:p>
    <w:p>
      <w:pPr>
        <w:pStyle w:val="Normal"/>
        <w:framePr w:w="5428" w:hAnchor="page" w:vAnchor="page" w:x="926" w:y="9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Percent of Class Represented by Amount In Row (9)</w:t>
      </w:r>
    </w:p>
    <w:p>
      <w:pPr>
        <w:pStyle w:val="Normal"/>
        <w:framePr w:w="1834" w:hAnchor="page" w:vAnchor="page" w:x="926" w:y="89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Not Applicable</w:t>
      </w:r>
    </w:p>
    <w:p>
      <w:pPr>
        <w:pStyle w:val="Normal"/>
        <w:framePr w:w="560" w:hAnchor="page" w:vAnchor="page" w:x="455" w:y="84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10)</w:t>
      </w:r>
    </w:p>
    <w:p>
      <w:pPr>
        <w:pStyle w:val="Normal"/>
        <w:framePr w:w="6935" w:hAnchor="page" w:vAnchor="page" w:x="926" w:y="84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Check if the Aggregate Amount in Row (9) Excludes Certain Shares</w:t>
      </w:r>
    </w:p>
    <w:p>
      <w:pPr>
        <w:pStyle w:val="Normal"/>
        <w:framePr w:w="1441" w:hAnchor="page" w:vAnchor="page" w:x="926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19,349,824</w:t>
      </w:r>
    </w:p>
    <w:p>
      <w:pPr>
        <w:pStyle w:val="Normal"/>
        <w:framePr w:w="680" w:hAnchor="page" w:vAnchor="page" w:x="455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9)  </w:t>
      </w:r>
    </w:p>
    <w:p>
      <w:pPr>
        <w:pStyle w:val="Normal"/>
        <w:framePr w:w="6755" w:hAnchor="page" w:vAnchor="page" w:x="926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Aggregate Amount Beneficially Owned by Each Reporting Person</w:t>
      </w:r>
    </w:p>
    <w:p>
      <w:pPr>
        <w:pStyle w:val="Normal"/>
        <w:framePr w:w="360" w:hAnchor="page" w:vAnchor="page" w:x="1977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2367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41" w:hAnchor="page" w:vAnchor="page" w:x="2472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19,349,824</w:t>
      </w:r>
    </w:p>
    <w:p>
      <w:pPr>
        <w:pStyle w:val="Normal"/>
        <w:framePr w:w="440" w:hAnchor="page" w:vAnchor="page" w:x="2082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8)</w:t>
      </w:r>
    </w:p>
    <w:p>
      <w:pPr>
        <w:pStyle w:val="Normal"/>
        <w:framePr w:w="2854" w:hAnchor="page" w:vAnchor="page" w:x="2472" w:y="69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Shared Dispositive Power</w:t>
      </w:r>
    </w:p>
    <w:p>
      <w:pPr>
        <w:pStyle w:val="Normal"/>
        <w:framePr w:w="867" w:hAnchor="page" w:vAnchor="page" w:x="947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</w:t>
      </w:r>
    </w:p>
    <w:p>
      <w:pPr>
        <w:pStyle w:val="Normal"/>
        <w:framePr w:w="360" w:hAnchor="page" w:vAnchor="page" w:x="1977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2367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80" w:hAnchor="page" w:vAnchor="page" w:x="2472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0</w:t>
      </w:r>
    </w:p>
    <w:p>
      <w:pPr>
        <w:pStyle w:val="Normal"/>
        <w:framePr w:w="1161" w:hAnchor="page" w:vAnchor="page" w:x="825" w:y="66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</w:t>
      </w:r>
    </w:p>
    <w:p>
      <w:pPr>
        <w:pStyle w:val="Normal"/>
        <w:framePr w:w="1573" w:hAnchor="page" w:vAnchor="page" w:x="653" w:y="63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REPORTING</w:t>
      </w:r>
    </w:p>
    <w:p>
      <w:pPr>
        <w:pStyle w:val="Normal"/>
        <w:framePr w:w="894" w:hAnchor="page" w:vAnchor="page" w:x="936" w:y="61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EACH</w:t>
      </w:r>
    </w:p>
    <w:p>
      <w:pPr>
        <w:pStyle w:val="Normal"/>
        <w:framePr w:w="440" w:hAnchor="page" w:vAnchor="page" w:x="2082" w:y="61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7)</w:t>
      </w:r>
    </w:p>
    <w:p>
      <w:pPr>
        <w:pStyle w:val="Normal"/>
        <w:framePr w:w="2614" w:hAnchor="page" w:vAnchor="page" w:x="2472" w:y="61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Sole Dispositive Power</w:t>
      </w:r>
    </w:p>
    <w:p>
      <w:pPr>
        <w:pStyle w:val="Normal"/>
        <w:framePr w:w="1527" w:hAnchor="page" w:vAnchor="page" w:x="672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OWNED BY</w:t>
      </w:r>
    </w:p>
    <w:p>
      <w:pPr>
        <w:pStyle w:val="Normal"/>
        <w:framePr w:w="360" w:hAnchor="page" w:vAnchor="page" w:x="1977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2367" w:y="58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1423" w:hAnchor="page" w:vAnchor="page" w:x="2472" w:y="58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11,115,684</w:t>
      </w:r>
    </w:p>
    <w:p>
      <w:pPr>
        <w:pStyle w:val="Normal"/>
        <w:framePr w:w="2048" w:hAnchor="page" w:vAnchor="page" w:x="455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BENEFICIALLY </w:t>
      </w:r>
    </w:p>
    <w:p>
      <w:pPr>
        <w:pStyle w:val="Normal"/>
        <w:framePr w:w="1161" w:hAnchor="page" w:vAnchor="page" w:x="825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</w:t>
      </w:r>
    </w:p>
    <w:p>
      <w:pPr>
        <w:pStyle w:val="Normal"/>
        <w:framePr w:w="440" w:hAnchor="page" w:vAnchor="page" w:x="2082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6)</w:t>
      </w:r>
    </w:p>
    <w:p>
      <w:pPr>
        <w:pStyle w:val="Normal"/>
        <w:framePr w:w="2396" w:hAnchor="page" w:vAnchor="page" w:x="2472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Shared Voting Power</w:t>
      </w:r>
    </w:p>
    <w:p>
      <w:pPr>
        <w:pStyle w:val="Normal"/>
        <w:framePr w:w="1634" w:hAnchor="page" w:vAnchor="page" w:x="627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NUMBER OF</w:t>
      </w:r>
    </w:p>
    <w:p>
      <w:pPr>
        <w:pStyle w:val="Normal"/>
        <w:framePr w:w="360" w:hAnchor="page" w:vAnchor="page" w:x="1977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2367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80" w:hAnchor="page" w:vAnchor="page" w:x="2472" w:y="50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0</w:t>
      </w:r>
    </w:p>
    <w:p>
      <w:pPr>
        <w:pStyle w:val="Normal"/>
        <w:framePr w:w="560" w:hAnchor="page" w:vAnchor="page" w:x="2082" w:y="45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5)  </w:t>
      </w:r>
    </w:p>
    <w:p>
      <w:pPr>
        <w:pStyle w:val="Normal"/>
        <w:framePr w:w="2157" w:hAnchor="page" w:vAnchor="page" w:x="2472" w:y="45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Sole Voting Power</w:t>
      </w:r>
    </w:p>
    <w:p>
      <w:pPr>
        <w:pStyle w:val="Normal"/>
        <w:framePr w:w="1280" w:hAnchor="page" w:vAnchor="page" w:x="926" w:y="4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Delaware</w:t>
      </w:r>
    </w:p>
    <w:p>
      <w:pPr>
        <w:pStyle w:val="Normal"/>
        <w:framePr w:w="560" w:hAnchor="page" w:vAnchor="page" w:x="455" w:y="37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4)</w:t>
      </w:r>
    </w:p>
    <w:p>
      <w:pPr>
        <w:pStyle w:val="Normal"/>
        <w:framePr w:w="3863" w:hAnchor="page" w:vAnchor="page" w:x="926" w:y="37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Citizenship or Place of Organization</w:t>
      </w:r>
    </w:p>
    <w:p>
      <w:pPr>
        <w:pStyle w:val="Normal"/>
        <w:framePr w:w="560" w:hAnchor="page" w:vAnchor="page" w:x="455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3)</w:t>
      </w:r>
    </w:p>
    <w:p>
      <w:pPr>
        <w:pStyle w:val="Normal"/>
        <w:framePr w:w="1774" w:hAnchor="page" w:vAnchor="page" w:x="926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SEC Use Only</w:t>
      </w:r>
    </w:p>
    <w:p>
      <w:pPr>
        <w:pStyle w:val="Normal"/>
        <w:framePr w:w="1287" w:hAnchor="page" w:vAnchor="page" w:x="1326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a group.</w:t>
      </w:r>
    </w:p>
    <w:p>
      <w:pPr>
        <w:pStyle w:val="Normal"/>
        <w:framePr w:w="13088" w:hAnchor="page" w:vAnchor="page" w:x="926" w:y="27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*   This filing describes the reporting person’s relationship with other persons, but the reporting person does not affirm the existence</w:t>
      </w:r>
    </w:p>
    <w:p>
      <w:pPr>
        <w:pStyle w:val="Normal"/>
        <w:framePr w:w="2179" w:hAnchor="page" w:vAnchor="page" w:x="926" w:y="2226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(a)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(b)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*</w:t>
      </w:r>
    </w:p>
    <w:p>
      <w:pPr>
        <w:pStyle w:val="Normal"/>
        <w:framePr w:w="560" w:hAnchor="page" w:vAnchor="page" w:x="455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2)</w:t>
      </w:r>
    </w:p>
    <w:p>
      <w:pPr>
        <w:pStyle w:val="Normal"/>
        <w:framePr w:w="5354" w:hAnchor="page" w:vAnchor="page" w:x="926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Check the Appropriate Box if a Member of a Group</w:t>
      </w:r>
    </w:p>
    <w:p>
      <w:pPr>
        <w:pStyle w:val="Normal"/>
        <w:framePr w:w="2368" w:hAnchor="page" w:vAnchor="page" w:x="926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IRS No. 13-3180631</w:t>
      </w:r>
    </w:p>
    <w:p>
      <w:pPr>
        <w:pStyle w:val="Normal"/>
        <w:framePr w:w="5062" w:hAnchor="page" w:vAnchor="page" w:x="926" w:y="12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S.S. or I.R.S. Identification No. of Above Person</w:t>
      </w:r>
    </w:p>
    <w:p>
      <w:pPr>
        <w:pStyle w:val="Normal"/>
        <w:framePr w:w="2867" w:hAnchor="page" w:vAnchor="page" w:x="926" w:y="9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Ameriprise Financial, Inc.</w:t>
      </w:r>
    </w:p>
    <w:p>
      <w:pPr>
        <w:pStyle w:val="Normal"/>
        <w:framePr w:w="680" w:hAnchor="page" w:vAnchor="page" w:x="455" w:y="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1)  </w:t>
      </w:r>
    </w:p>
    <w:p>
      <w:pPr>
        <w:pStyle w:val="Normal"/>
        <w:framePr w:w="2927" w:hAnchor="page" w:vAnchor="page" w:x="926" w:y="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Name of Reporting Person</w:t>
      </w:r>
    </w:p>
    <w:p>
      <w:pPr>
        <w:pStyle w:val="Normal"/>
        <w:framePr w:w="2572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CUSIP NO. G87110105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7pt;margin-top:1pt;z-index:-167771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1pt;z-index:-16777176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2.5pt;z-index:-16777172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7.75pt;margin-top:1pt;z-index:-16777168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1pt;z-index:-16777164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45.3pt;margin-top:226.95pt;z-index:-16777160;width:54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591pt;margin-top:187.9pt;z-index:-16777156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40.8pt;margin-top:226.95pt;z-index:-167771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226.95pt;z-index:-16777148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87.9pt;z-index:-16777144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40.8pt;margin-top:187.9pt;z-index:-16777140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45.3pt;margin-top:187.9pt;z-index:-16777136;width:54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591pt;margin-top:160.9pt;z-index:-16777132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40.8pt;margin-top:187.9pt;z-index:-167771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3pt;margin-top:187.9pt;z-index:-16777124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3pt;margin-top:160.9pt;z-index:-16777120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0.8pt;margin-top:160.9pt;z-index:-16777116;width:2.75pt;height:2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45.3pt;margin-top:160.9pt;z-index:-16777112;width:54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591pt;margin-top:97.85pt;z-index:-16777108;width:2.75pt;height:65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40.8pt;margin-top:160.9pt;z-index:-167771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pt;margin-top:160.9pt;z-index:-16777100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97.85pt;z-index:-16777096;width:2.75pt;height:65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40.8pt;margin-top:97.85pt;z-index:-16777092;width:2.75pt;height:65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45.3pt;margin-top:34.8pt;z-index:-16777088;width:54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45.3pt;margin-top:97.85pt;z-index:-16777084;width:54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591pt;margin-top:34.8pt;z-index:-16777080;width:2.75pt;height:65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40.8pt;margin-top:97.85pt;z-index:-167770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pt;margin-top:97.85pt;z-index:-16777072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34.8pt;z-index:-16777068;width:2.75pt;height:65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40.8pt;margin-top:34.8pt;z-index:-16777064;width:2.75pt;height:65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38.35pt;margin-top:34.8pt;z-index:-16777060;width:455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3.1pt;margin-top:34.8pt;z-index:-167770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28.6pt;margin-top:34.8pt;z-index:-167770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45.3pt;margin-top:34.8pt;z-index:-16777048;width:8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40.8pt;margin-top:34.8pt;z-index:-167770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3pt;margin-top:34.8pt;z-index:-16777040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591pt;margin-top:344.05pt;z-index:-16777036;width:2.75pt;height:41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16.6pt;margin-top:344.05pt;z-index:-16777032;width:2.75pt;height:41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97.1pt;margin-top:344.05pt;z-index:-16777028;width:2.75pt;height:41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22.6pt;margin-top:344.05pt;z-index:-16777024;width:471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91pt;margin-top:305pt;z-index:-16777020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16.6pt;margin-top:344.05pt;z-index:-167770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03.1pt;margin-top:344.05pt;z-index:-16777012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16.6pt;margin-top:305pt;z-index:-16777008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97.1pt;margin-top:344.05pt;z-index:-167770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97.1pt;margin-top:305pt;z-index:-16777000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22.6pt;margin-top:305pt;z-index:-16776996;width:471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1pt;margin-top:265.95pt;z-index:-16776992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16.6pt;margin-top:305pt;z-index:-167769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03.1pt;margin-top:305pt;z-index:-16776984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116.6pt;margin-top:265.95pt;z-index:-16776980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97.1pt;margin-top:305pt;z-index:-167769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97.1pt;margin-top:265.95pt;z-index:-16776972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2.6pt;margin-top:265.95pt;z-index:-16776968;width:471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591pt;margin-top:227.7pt;z-index:-16776964;width:2.75pt;height:41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16.6pt;margin-top:265.95pt;z-index:-167769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03.1pt;margin-top:265.95pt;z-index:-16776956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16.6pt;margin-top:227.7pt;z-index:-16776952;width:2.75pt;height:41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97.1pt;margin-top:265.95pt;z-index:-167769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3pt;margin-top:227.7pt;z-index:-16776944;width:2.75pt;height:157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97.1pt;margin-top:227.7pt;z-index:-16776940;width:2.75pt;height:157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45.3pt;margin-top:539.2pt;z-index:-16776936;width:54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591pt;margin-top:500.15pt;z-index:-16776932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40.8pt;margin-top:539.2pt;z-index:-167769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pt;margin-top:539.2pt;z-index:-16776924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pt;margin-top:500.15pt;z-index:-16776920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40.8pt;margin-top:500.15pt;z-index:-16776916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45.3pt;margin-top:500.15pt;z-index:-16776912;width:54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591pt;margin-top:461.15pt;z-index:-16776908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40.8pt;margin-top:500.15pt;z-index:-167769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pt;margin-top:500.15pt;z-index:-16776900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3pt;margin-top:461.15pt;z-index:-16776896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40.8pt;margin-top:461.15pt;z-index:-16776892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.3pt;margin-top:461.15pt;z-index:-16776888;width:54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91pt;margin-top:422.1pt;z-index:-16776884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0.8pt;margin-top:461.15pt;z-index:-167768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3pt;margin-top:461.15pt;z-index:-16776876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3pt;margin-top:422.1pt;z-index:-16776872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40.8pt;margin-top:422.1pt;z-index:-16776868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5.3pt;margin-top:383.05pt;z-index:-16776864;width:54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45.3pt;margin-top:422.1pt;z-index:-16776860;width:54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591pt;margin-top:383.05pt;z-index:-16776856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0.8pt;margin-top:422.1pt;z-index:-167768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13pt;margin-top:422.1pt;z-index:-16776848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13pt;margin-top:383.05pt;z-index:-16776844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40.8pt;margin-top:383.05pt;z-index:-16776840;width:2.75pt;height:41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108.35pt;margin-top:383.05pt;z-index:-16776836;width:485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103.1pt;margin-top:383.05pt;z-index:-167768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97.85pt;margin-top:383.05pt;z-index:-167768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.3pt;margin-top:383.05pt;z-index:-16776824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0.8pt;margin-top:383.05pt;z-index:-167768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13pt;margin-top:383.05pt;z-index:-16776816;width:30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</w:p>
    <w:p>
      <w:pPr>
        <w:pStyle w:val="Normal"/>
        <w:framePr w:w="360" w:hAnchor="page" w:vAnchor="page" w:x="280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</w:t>
      </w:r>
    </w:p>
    <w:p>
      <w:pPr>
        <w:pStyle w:val="Normal"/>
        <w:framePr w:w="4841" w:hAnchor="page" w:vAnchor="page" w:x="745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Notice of Dissolution of Group: Not Applicable</w:t>
      </w:r>
    </w:p>
    <w:p>
      <w:pPr>
        <w:pStyle w:val="Normal"/>
        <w:framePr w:w="360" w:hAnchor="page" w:vAnchor="page" w:x="280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</w:t>
      </w:r>
    </w:p>
    <w:p>
      <w:pPr>
        <w:pStyle w:val="Normal"/>
        <w:framePr w:w="7435" w:hAnchor="page" w:vAnchor="page" w:x="745" w:y="74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Identification and Classification of Members of the Group: Not Applicable</w:t>
      </w:r>
    </w:p>
    <w:p>
      <w:pPr>
        <w:pStyle w:val="Normal"/>
        <w:framePr w:w="1293" w:hAnchor="page" w:vAnchor="page" w:x="745" w:y="70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Applicable</w:t>
      </w:r>
    </w:p>
    <w:p>
      <w:pPr>
        <w:pStyle w:val="Normal"/>
        <w:framePr w:w="360" w:hAnchor="page" w:vAnchor="page" w:x="280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</w:t>
      </w:r>
    </w:p>
    <w:p>
      <w:pPr>
        <w:pStyle w:val="Normal"/>
        <w:framePr w:w="13417" w:hAnchor="page" w:vAnchor="page" w:x="745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Identification and Classification of the Subsidiary Which Acquired the Security Being Reported on by the Parent Holding Company: Not</w:t>
      </w:r>
    </w:p>
    <w:p>
      <w:pPr>
        <w:pStyle w:val="Normal"/>
        <w:framePr w:w="360" w:hAnchor="page" w:vAnchor="page" w:x="280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</w:t>
      </w:r>
    </w:p>
    <w:p>
      <w:pPr>
        <w:pStyle w:val="Normal"/>
        <w:framePr w:w="7382" w:hAnchor="page" w:vAnchor="page" w:x="745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Ownership of more than 5% on Behalf of Another Person: Not Applicable</w:t>
      </w:r>
    </w:p>
    <w:p>
      <w:pPr>
        <w:pStyle w:val="Normal"/>
        <w:framePr w:w="6227" w:hAnchor="page" w:vAnchor="page" w:x="747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five percent of the class of securities, check the following (X).</w:t>
      </w:r>
    </w:p>
    <w:p>
      <w:pPr>
        <w:pStyle w:val="Normal"/>
        <w:framePr w:w="13674" w:hAnchor="page" w:vAnchor="page" w:x="747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this statement is being filed to report the fact as of the date hereof the reporting person has ceased to be the beneficial owner of more than</w:t>
      </w:r>
    </w:p>
    <w:p>
      <w:pPr>
        <w:pStyle w:val="Normal"/>
        <w:framePr w:w="360" w:hAnchor="page" w:vAnchor="page" w:x="280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</w:t>
      </w:r>
    </w:p>
    <w:p>
      <w:pPr>
        <w:pStyle w:val="Normal"/>
        <w:framePr w:w="3768" w:hAnchor="page" w:vAnchor="page" w:x="745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Ownership of 5% or Less of a Class:</w:t>
      </w:r>
    </w:p>
    <w:p>
      <w:pPr>
        <w:pStyle w:val="Normal"/>
        <w:framePr w:w="7555" w:hAnchor="page" w:vAnchor="page" w:x="747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AFI disclaims beneficial ownership of any shares reported on this Schedule.</w:t>
      </w:r>
    </w:p>
    <w:p>
      <w:pPr>
        <w:pStyle w:val="Normal"/>
        <w:framePr w:w="360" w:hAnchor="page" w:vAnchor="page" w:x="280" w:y="47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4</w:t>
      </w:r>
    </w:p>
    <w:p>
      <w:pPr>
        <w:pStyle w:val="Normal"/>
        <w:framePr w:w="10318" w:hAnchor="page" w:vAnchor="page" w:x="745" w:y="47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Incorporated by reference to Items (5)-(9) and (11) of the cover page pertaining to each reporting person.</w:t>
      </w:r>
    </w:p>
    <w:p>
      <w:pPr>
        <w:pStyle w:val="Normal"/>
        <w:framePr w:w="8901" w:hAnchor="page" w:vAnchor="page" w:x="747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parent holding company in accordance with Rule 13d-1(b)(1)(ii)(G). (Note: See Item 7)</w:t>
      </w:r>
    </w:p>
    <w:p>
      <w:pPr>
        <w:pStyle w:val="Normal"/>
        <w:framePr w:w="2760" w:hAnchor="page" w:vAnchor="page" w:x="1331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Ameriprise Financial, Inc.</w:t>
      </w:r>
    </w:p>
    <w:p>
      <w:pPr>
        <w:pStyle w:val="Normal"/>
        <w:framePr w:w="360" w:hAnchor="page" w:vAnchor="page" w:x="280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</w:t>
      </w:r>
    </w:p>
    <w:p>
      <w:pPr>
        <w:pStyle w:val="Normal"/>
        <w:framePr w:w="7161" w:hAnchor="page" w:vAnchor="page" w:x="745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Information if statement is filed pursuant to Rules 13d-1(b) or 13d-2(b):</w:t>
      </w:r>
    </w:p>
    <w:p>
      <w:pPr>
        <w:pStyle w:val="Normal"/>
        <w:framePr w:w="2169" w:hAnchor="page" w:vAnchor="page" w:x="280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2(e)  Cusip Number:</w:t>
      </w:r>
    </w:p>
    <w:p>
      <w:pPr>
        <w:pStyle w:val="Normal"/>
        <w:framePr w:w="1509" w:hAnchor="page" w:vAnchor="page" w:x="6240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G87110105</w:t>
      </w:r>
    </w:p>
    <w:p>
      <w:pPr>
        <w:pStyle w:val="Normal"/>
        <w:framePr w:w="3327" w:hAnchor="page" w:vAnchor="page" w:x="280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2(d)  Title of Class of Securities:</w:t>
      </w:r>
    </w:p>
    <w:p>
      <w:pPr>
        <w:pStyle w:val="Normal"/>
        <w:framePr w:w="1885" w:hAnchor="page" w:vAnchor="page" w:x="6240" w:y="28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Common Stock</w:t>
      </w:r>
    </w:p>
    <w:p>
      <w:pPr>
        <w:pStyle w:val="Normal"/>
        <w:framePr w:w="1855" w:hAnchor="page" w:vAnchor="page" w:x="280" w:y="25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2(c)  Citizenship:</w:t>
      </w:r>
    </w:p>
    <w:p>
      <w:pPr>
        <w:pStyle w:val="Normal"/>
        <w:framePr w:w="1304" w:hAnchor="page" w:vAnchor="page" w:x="6240" w:y="25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Delaware</w:t>
      </w:r>
    </w:p>
    <w:p>
      <w:pPr>
        <w:pStyle w:val="Normal"/>
        <w:framePr w:w="360" w:hAnchor="page" w:vAnchor="page" w:x="6240" w:y="21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608" w:hAnchor="page" w:vAnchor="page" w:x="6360" w:y="21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Minneapolis, MN 55474</w:t>
      </w:r>
    </w:p>
    <w:p>
      <w:pPr>
        <w:pStyle w:val="Normal"/>
        <w:framePr w:w="3394" w:hAnchor="page" w:vAnchor="page" w:x="6360" w:y="1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145 Ameriprise Financial Center</w:t>
      </w:r>
    </w:p>
    <w:p>
      <w:pPr>
        <w:pStyle w:val="Normal"/>
        <w:framePr w:w="4331" w:hAnchor="page" w:vAnchor="page" w:x="280" w:y="16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2(b)  Address of Principal Business Office:</w:t>
      </w:r>
    </w:p>
    <w:p>
      <w:pPr>
        <w:pStyle w:val="Normal"/>
        <w:framePr w:w="2760" w:hAnchor="page" w:vAnchor="page" w:x="6360" w:y="16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Ameriprise Financial, Inc.</w:t>
      </w:r>
    </w:p>
    <w:p>
      <w:pPr>
        <w:pStyle w:val="Normal"/>
        <w:framePr w:w="2942" w:hAnchor="page" w:vAnchor="page" w:x="280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2(a)  Name of Person Filing:</w:t>
      </w:r>
    </w:p>
    <w:p>
      <w:pPr>
        <w:pStyle w:val="Normal"/>
        <w:framePr w:w="3724" w:hAnchor="page" w:vAnchor="page" w:x="6240" w:y="13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Ameriprise Financial, Inc. (“AFI”)</w:t>
      </w:r>
    </w:p>
    <w:p>
      <w:pPr>
        <w:pStyle w:val="Normal"/>
        <w:framePr w:w="360" w:hAnchor="page" w:vAnchor="page" w:x="6240" w:y="9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20" w:hAnchor="page" w:vAnchor="page" w:x="6360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Newcastle Upon Tyne, UK E6 3PL</w:t>
      </w:r>
    </w:p>
    <w:p>
      <w:pPr>
        <w:pStyle w:val="Normal"/>
        <w:framePr w:w="5334" w:hAnchor="page" w:vAnchor="page" w:x="28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1(b)  Address of Issuer’s Principal Executive Offices:</w:t>
      </w:r>
    </w:p>
    <w:p>
      <w:pPr>
        <w:pStyle w:val="Normal"/>
        <w:framePr w:w="3591" w:hAnchor="page" w:vAnchor="page" w:x="6360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Hadrian House, Wincomblee Road</w:t>
      </w:r>
    </w:p>
    <w:p>
      <w:pPr>
        <w:pStyle w:val="Normal"/>
        <w:framePr w:w="2228" w:hAnchor="page" w:vAnchor="page" w:x="280" w:y="3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1(a)  Name of Issuer:</w:t>
      </w:r>
    </w:p>
    <w:p>
      <w:pPr>
        <w:pStyle w:val="Normal"/>
        <w:framePr w:w="2015" w:hAnchor="page" w:vAnchor="page" w:x="6240" w:y="3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TechnipFMC plc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7pt;margin-top:1pt;z-index:-167768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13pt;margin-top:1pt;z-index:-1677680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3pt;margin-top:2.5pt;z-index:-1677680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97.75pt;margin-top:1pt;z-index:-1677680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13pt;margin-top:1pt;z-index:-1677679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</w:p>
    <w:p>
      <w:pPr>
        <w:pStyle w:val="Normal"/>
        <w:framePr w:w="2864" w:hAnchor="page" w:vAnchor="page" w:x="7291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Telephone: (617) 747-0663</w:t>
      </w:r>
    </w:p>
    <w:p>
      <w:pPr>
        <w:pStyle w:val="Normal"/>
        <w:framePr w:w="4194" w:hAnchor="page" w:vAnchor="page" w:x="7291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Global Operations and Investor Services </w:t>
      </w:r>
    </w:p>
    <w:p>
      <w:pPr>
        <w:pStyle w:val="Normal"/>
        <w:framePr w:w="4260" w:hAnchor="page" w:vAnchor="page" w:x="7291" w:y="5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Head of Reporting and Data Management</w:t>
      </w:r>
    </w:p>
    <w:p>
      <w:pPr>
        <w:pStyle w:val="Normal"/>
        <w:framePr w:w="1632" w:hAnchor="page" w:vAnchor="page" w:x="7291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Vice President</w:t>
      </w:r>
    </w:p>
    <w:p>
      <w:pPr>
        <w:pStyle w:val="Normal"/>
        <w:framePr w:w="1754" w:hAnchor="page" w:vAnchor="page" w:x="7291" w:y="50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Mark D. Braley</w:t>
      </w:r>
    </w:p>
    <w:p>
      <w:pPr>
        <w:pStyle w:val="Normal"/>
        <w:framePr w:w="2194" w:hAnchor="page" w:vAnchor="page" w:x="7291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Contact Information</w:t>
      </w:r>
    </w:p>
    <w:p>
      <w:pPr>
        <w:pStyle w:val="Normal"/>
        <w:framePr w:w="5772" w:hAnchor="page" w:vAnchor="page" w:x="7291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   Senior Vice President, Head of Global Operations</w:t>
      </w:r>
    </w:p>
    <w:p>
      <w:pPr>
        <w:pStyle w:val="Normal"/>
        <w:framePr w:w="2759" w:hAnchor="page" w:vAnchor="page" w:x="7291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Michael G. Clarke</w:t>
      </w:r>
    </w:p>
    <w:p>
      <w:pPr>
        <w:pStyle w:val="Normal"/>
        <w:framePr w:w="587" w:hAnchor="page" w:vAnchor="page" w:x="7291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379" w:hAnchor="page" w:vAnchor="page" w:x="7846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/s/ Michael G. Clarke</w:t>
      </w:r>
    </w:p>
    <w:p>
      <w:pPr>
        <w:pStyle w:val="Normal"/>
        <w:framePr w:w="2760" w:hAnchor="page" w:vAnchor="page" w:x="7291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Ameriprise Financial, Inc.</w:t>
      </w:r>
    </w:p>
    <w:p>
      <w:pPr>
        <w:pStyle w:val="Normal"/>
        <w:framePr w:w="2707" w:hAnchor="page" w:vAnchor="page" w:x="280" w:y="28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Dated: February 14, 2023</w:t>
      </w:r>
    </w:p>
    <w:p>
      <w:pPr>
        <w:pStyle w:val="Normal"/>
        <w:framePr w:w="2313" w:hAnchor="page" w:vAnchor="page" w:x="747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complete and correct.</w:t>
      </w:r>
    </w:p>
    <w:p>
      <w:pPr>
        <w:pStyle w:val="Normal"/>
        <w:framePr w:w="12849" w:hAnchor="page" w:vAnchor="page" w:x="747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After reasonable inquiry and to the best of my knowledge and belief, I certify that the information set forth in this statement is true,</w:t>
      </w:r>
    </w:p>
    <w:p>
      <w:pPr>
        <w:pStyle w:val="Normal"/>
        <w:framePr w:w="1160" w:hAnchor="page" w:vAnchor="page" w:x="280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Signature</w:t>
      </w:r>
    </w:p>
    <w:p>
      <w:pPr>
        <w:pStyle w:val="Normal"/>
        <w:framePr w:w="12530" w:hAnchor="page" w:vAnchor="page" w:x="747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such securities and were not acquired in connection with or as a participant in any transaction having such purposes or effect.</w:t>
      </w:r>
    </w:p>
    <w:p>
      <w:pPr>
        <w:pStyle w:val="Normal"/>
        <w:framePr w:w="13444" w:hAnchor="page" w:vAnchor="page" w:x="747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course of business and were not acquired for the purpose of and do not have the effect of changing or influencing the control of the issuer</w:t>
      </w:r>
    </w:p>
    <w:p>
      <w:pPr>
        <w:pStyle w:val="Normal"/>
        <w:framePr w:w="13052" w:hAnchor="page" w:vAnchor="page" w:x="747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signing below, I certify that, to the best of my knowledge and belief, the securities referred to above were acquired in the ordinary</w:t>
      </w:r>
    </w:p>
    <w:p>
      <w:pPr>
        <w:pStyle w:val="Normal"/>
        <w:framePr w:w="480" w:hAnchor="page" w:vAnchor="page" w:x="280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</w:t>
      </w:r>
    </w:p>
    <w:p>
      <w:pPr>
        <w:pStyle w:val="Normal"/>
        <w:framePr w:w="1520" w:hAnchor="page" w:vAnchor="page" w:x="745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Certification: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7pt;margin-top:1pt;z-index:-16776792;width:598pt;height:32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3pt;margin-top:1pt;z-index:-16776788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13pt;margin-top:2.5pt;z-index:-16776784;width:58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97.75pt;margin-top:1pt;z-index:-16776780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pt;margin-top:1pt;z-index:-16776776;width:2.75pt;height:4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94.3pt;margin-top:202.9pt;z-index:-16776772;width:204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91.3pt;margin-top:202.9pt;z-index:-1677676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e00ae2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styles.xml" Type="http://schemas.openxmlformats.org/officeDocument/2006/relationships/styles"/><Relationship Id="rId114" Target="fontTable.xml" Type="http://schemas.openxmlformats.org/officeDocument/2006/relationships/fontTable"/><Relationship Id="rId115" Target="settings.xml" Type="http://schemas.openxmlformats.org/officeDocument/2006/relationships/settings"/><Relationship Id="rId116" Target="webSettings.xml" Type="http://schemas.openxmlformats.org/officeDocument/2006/relationships/webSettings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636</Words>
  <Characters>3359</Characters>
  <Application>e-iceblue</Application>
  <DocSecurity>0</DocSecurity>
  <Lines>133</Lines>
  <Paragraphs>133</Paragraphs>
  <ScaleCrop>false</ScaleCrop>
  <Company>e-iceblue</Company>
  <LinksUpToDate>false</LinksUpToDate>
  <CharactersWithSpaces>3982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2023-02-14T15:40:54Z</dcterms:created>
  <dc:creator>root</dc:creator>
  <cp:lastModifiedBy>root</cp:lastModifiedBy>
  <dcterms:modified xsi:type="dcterms:W3CDTF">2023-02-14T15:40:54Z</dcterms:modified>
  <cp:revision>1</cp:revision>
</cp:coreProperties>
</file>