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843280</wp:posOffset>
            </wp:positionV>
            <wp:extent cx="2847340" cy="548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847340" cy="5486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August 8, 2019</w:t>
      </w:r>
    </w:p>
    <w:p>
      <w:pPr>
        <w:spacing w:after="0" w:line="200" w:lineRule="exact"/>
        <w:rPr>
          <w:sz w:val="24"/>
          <w:szCs w:val="24"/>
          <w:color w:val="auto"/>
        </w:rPr>
      </w:pPr>
    </w:p>
    <w:p>
      <w:pPr>
        <w:spacing w:after="0" w:line="295" w:lineRule="exact"/>
        <w:rPr>
          <w:sz w:val="24"/>
          <w:szCs w:val="24"/>
          <w:color w:val="auto"/>
        </w:rPr>
      </w:pPr>
    </w:p>
    <w:p>
      <w:pPr>
        <w:spacing w:after="0"/>
        <w:rPr>
          <w:sz w:val="20"/>
          <w:szCs w:val="20"/>
          <w:color w:val="auto"/>
        </w:rPr>
      </w:pPr>
      <w:r>
        <w:rPr>
          <w:rFonts w:ascii="Arial" w:cs="Arial" w:eastAsia="Arial" w:hAnsi="Arial"/>
          <w:sz w:val="16"/>
          <w:szCs w:val="16"/>
          <w:color w:val="auto"/>
        </w:rPr>
        <w:t>U.S. Securities and Exchange Commission</w:t>
      </w:r>
    </w:p>
    <w:p>
      <w:pPr>
        <w:spacing w:after="0" w:line="46" w:lineRule="exact"/>
        <w:rPr>
          <w:sz w:val="24"/>
          <w:szCs w:val="24"/>
          <w:color w:val="auto"/>
        </w:rPr>
      </w:pPr>
    </w:p>
    <w:p>
      <w:pPr>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ectPr>
          <w:pgSz w:w="11900" w:h="16838" w:orient="portrait"/>
          <w:cols w:equalWidth="0" w:num="1">
            <w:col w:w="11320"/>
          </w:cols>
          <w:pgMar w:left="240" w:top="1440" w:right="3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ind w:left="40"/>
        <w:spacing w:after="0"/>
        <w:rPr>
          <w:sz w:val="20"/>
          <w:szCs w:val="20"/>
          <w:color w:val="auto"/>
        </w:rPr>
      </w:pPr>
      <w:r>
        <w:rPr>
          <w:rFonts w:ascii="Arial" w:cs="Arial" w:eastAsia="Arial" w:hAnsi="Arial"/>
          <w:sz w:val="15"/>
          <w:szCs w:val="15"/>
          <w:color w:val="auto"/>
        </w:rPr>
        <w:t>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96" w:lineRule="exact"/>
        <w:rPr>
          <w:sz w:val="24"/>
          <w:szCs w:val="24"/>
          <w:color w:val="auto"/>
        </w:rPr>
      </w:pPr>
    </w:p>
    <w:p>
      <w:pPr>
        <w:ind w:right="1220"/>
        <w:spacing w:after="0" w:line="342" w:lineRule="auto"/>
        <w:rPr>
          <w:sz w:val="20"/>
          <w:szCs w:val="20"/>
          <w:color w:val="auto"/>
        </w:rPr>
      </w:pPr>
      <w:r>
        <w:rPr>
          <w:rFonts w:ascii="Arial" w:cs="Arial" w:eastAsia="Arial" w:hAnsi="Arial"/>
          <w:sz w:val="16"/>
          <w:szCs w:val="16"/>
          <w:color w:val="auto"/>
        </w:rPr>
        <w:t>Notice of disclosure filed in Quarterly Report on Form 10-Q for the quarter ended June 30, 2019 under Section 219 of the Iran Threat Reduction and Syria Human Rights Act of 2012 and Section 13(r) of the U.S. Securities Exchange Act of 1934, as amended</w:t>
      </w:r>
    </w:p>
    <w:p>
      <w:pPr>
        <w:spacing w:after="0" w:line="200" w:lineRule="exact"/>
        <w:rPr>
          <w:sz w:val="24"/>
          <w:szCs w:val="24"/>
          <w:color w:val="auto"/>
        </w:rPr>
      </w:pPr>
    </w:p>
    <w:p>
      <w:pPr>
        <w:sectPr>
          <w:pgSz w:w="11900" w:h="16838" w:orient="portrait"/>
          <w:cols w:equalWidth="0" w:num="2">
            <w:col w:w="280" w:space="380"/>
            <w:col w:w="10660"/>
          </w:cols>
          <w:pgMar w:left="240" w:top="1440" w:right="339" w:bottom="1440" w:gutter="0" w:footer="0" w:header="0"/>
          <w:type w:val="continuous"/>
        </w:sectPr>
      </w:pPr>
    </w:p>
    <w:p>
      <w:pPr>
        <w:spacing w:after="0" w:line="113" w:lineRule="exact"/>
        <w:rPr>
          <w:sz w:val="24"/>
          <w:szCs w:val="24"/>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spacing w:after="0" w:line="286" w:lineRule="auto"/>
        <w:rPr>
          <w:sz w:val="20"/>
          <w:szCs w:val="20"/>
          <w:color w:val="auto"/>
        </w:rPr>
      </w:pPr>
      <w:r>
        <w:rPr>
          <w:rFonts w:ascii="Arial" w:cs="Arial" w:eastAsia="Arial" w:hAnsi="Arial"/>
          <w:sz w:val="17"/>
          <w:szCs w:val="17"/>
          <w:color w:val="auto"/>
        </w:rPr>
        <w:t>Pursuant to Section 219 of the Iran Threat Reduction and Syria Human Rights Act of 2012 and Section 13(r) of the U.S. Securities Exchange Act of 1934, as amended, notice is hereby provided that TechnipFMC plc has made disclosure pursuant to those provisions in its Quarterly Report on Form 10-Q for the quarter ended June 30, 2019, which was filed with the U.S. Securities and Exchange Commission on August 8, 2019.</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Respectfully submitted,</w:t>
      </w: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spacing w:after="0"/>
        <w:rPr>
          <w:sz w:val="20"/>
          <w:szCs w:val="20"/>
          <w:color w:val="auto"/>
        </w:rPr>
      </w:pPr>
      <w:r>
        <w:rPr>
          <w:rFonts w:ascii="Arial" w:cs="Arial" w:eastAsia="Arial" w:hAnsi="Arial"/>
          <w:sz w:val="18"/>
          <w:szCs w:val="18"/>
          <w:color w:val="auto"/>
        </w:rPr>
        <w:t>TechnipFMC plc</w:t>
      </w:r>
    </w:p>
    <w:p>
      <w:pPr>
        <w:spacing w:after="0" w:line="200" w:lineRule="exact"/>
        <w:rPr>
          <w:sz w:val="24"/>
          <w:szCs w:val="24"/>
          <w:color w:val="auto"/>
        </w:rPr>
      </w:pPr>
    </w:p>
    <w:p>
      <w:pPr>
        <w:spacing w:after="0" w:line="200" w:lineRule="exact"/>
        <w:rPr>
          <w:sz w:val="24"/>
          <w:szCs w:val="24"/>
          <w:color w:val="auto"/>
        </w:rPr>
      </w:pPr>
    </w:p>
    <w:p>
      <w:pPr>
        <w:spacing w:after="0" w:line="392" w:lineRule="exact"/>
        <w:rPr>
          <w:sz w:val="24"/>
          <w:szCs w:val="24"/>
          <w:color w:val="auto"/>
        </w:rPr>
      </w:pPr>
    </w:p>
    <w:p>
      <w:pPr>
        <w:ind w:left="40"/>
        <w:spacing w:after="0"/>
        <w:tabs>
          <w:tab w:leader="none" w:pos="6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Dianne B. Ralston</w:t>
      </w:r>
    </w:p>
    <w:p>
      <w:pPr>
        <w:spacing w:after="0" w:line="63" w:lineRule="exact"/>
        <w:rPr>
          <w:sz w:val="24"/>
          <w:szCs w:val="24"/>
          <w:color w:val="auto"/>
        </w:rPr>
      </w:pPr>
    </w:p>
    <w:p>
      <w:pPr>
        <w:ind w:left="640"/>
        <w:spacing w:after="0"/>
        <w:rPr>
          <w:sz w:val="20"/>
          <w:szCs w:val="20"/>
          <w:color w:val="auto"/>
        </w:rPr>
      </w:pPr>
      <w:r>
        <w:rPr>
          <w:rFonts w:ascii="Arial" w:cs="Arial" w:eastAsia="Arial" w:hAnsi="Arial"/>
          <w:sz w:val="18"/>
          <w:szCs w:val="18"/>
          <w:color w:val="auto"/>
        </w:rPr>
        <w:t>Dianne B. Ralston</w:t>
      </w:r>
    </w:p>
    <w:p>
      <w:pPr>
        <w:spacing w:after="0" w:line="63" w:lineRule="exact"/>
        <w:rPr>
          <w:sz w:val="24"/>
          <w:szCs w:val="24"/>
          <w:color w:val="auto"/>
        </w:rPr>
      </w:pPr>
    </w:p>
    <w:p>
      <w:pPr>
        <w:ind w:left="640"/>
        <w:spacing w:after="0"/>
        <w:rPr>
          <w:sz w:val="20"/>
          <w:szCs w:val="20"/>
          <w:color w:val="auto"/>
        </w:rPr>
      </w:pPr>
      <w:r>
        <w:rPr>
          <w:rFonts w:ascii="Arial" w:cs="Arial" w:eastAsia="Arial" w:hAnsi="Arial"/>
          <w:sz w:val="18"/>
          <w:szCs w:val="18"/>
          <w:color w:val="auto"/>
        </w:rPr>
        <w:t>Executive Vice President, Chief Legal Officer and Secretary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4" w:lineRule="exact"/>
        <w:rPr>
          <w:sz w:val="24"/>
          <w:szCs w:val="24"/>
          <w:color w:val="auto"/>
        </w:rPr>
      </w:pPr>
    </w:p>
    <w:p>
      <w:pPr>
        <w:jc w:val="center"/>
        <w:ind w:right="-119"/>
        <w:spacing w:after="0"/>
        <w:rPr>
          <w:sz w:val="20"/>
          <w:szCs w:val="20"/>
          <w:color w:val="auto"/>
        </w:rPr>
      </w:pPr>
      <w:r>
        <w:rPr>
          <w:rFonts w:ascii="Arial" w:cs="Arial" w:eastAsia="Arial" w:hAnsi="Arial"/>
          <w:sz w:val="11"/>
          <w:szCs w:val="11"/>
          <w:color w:val="auto"/>
        </w:rPr>
        <w:t>TechnipFMC plc is registered in England and Wales (Company No. 09909709), with registered offices at One St. Paul’s Churchyard, London, EC4M 8AP.</w:t>
      </w:r>
    </w:p>
    <w:sectPr>
      <w:pgSz w:w="11900" w:h="16838" w:orient="portrait"/>
      <w:cols w:equalWidth="0" w:num="1">
        <w:col w:w="11320"/>
      </w:cols>
      <w:pgMar w:left="240" w:top="1440"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2019-11-30T07:50:25Z</dcterms:created>
  <dcterms:modified xsi:type="dcterms:W3CDTF">2019-11-30T07:50:25Z</dcterms:modified>
</cp:coreProperties>
</file>