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066" w:hAnchor="page" w:vAnchor="page" w:x="276" w:y="1573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new or revised financial accounting standards provided pursuant to Section 13(a) of the Exchange Act.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4016" w:hAnchor="page" w:vAnchor="page" w:x="276" w:y="155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an emerging growth company, indicate by check mark if the registrant has elected not to use the extended transition period for complying with any</w:t>
      </w:r>
    </w:p>
    <w:p>
      <w:pPr>
        <w:pStyle w:val="Normal"/>
        <w:framePr w:w="3079" w:hAnchor="page" w:vAnchor="page" w:x="276" w:y="15036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Emerging growth company 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734" w:hAnchor="page" w:vAnchor="page" w:x="276" w:y="1458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chapter) or Rule 12b-2 of the Securities Exchange Act of 1934 (§240.12b-2 of this chapter).</w:t>
      </w:r>
    </w:p>
    <w:p>
      <w:pPr>
        <w:pStyle w:val="Normal"/>
        <w:framePr w:w="14012" w:hAnchor="page" w:vAnchor="page" w:x="276" w:y="143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Indicate by check mark whether the registrant is an emerging growth company as defined in Rule 405 of the Securities Act of 1933 (§230.405 of this</w:t>
      </w:r>
    </w:p>
    <w:p>
      <w:pPr>
        <w:pStyle w:val="Normal"/>
        <w:framePr w:w="6504" w:hAnchor="page" w:vAnchor="page" w:x="3563" w:y="138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Securities registered pursuant to Section 12(g) of the Act: None.</w:t>
      </w:r>
    </w:p>
    <w:p>
      <w:pPr>
        <w:pStyle w:val="Normal"/>
        <w:framePr w:w="4461" w:hAnchor="page" w:vAnchor="page" w:x="516" w:y="13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Ordinary shares, $1.00 par value per share</w:t>
      </w:r>
    </w:p>
    <w:p>
      <w:pPr>
        <w:pStyle w:val="Normal"/>
        <w:framePr w:w="614" w:hAnchor="page" w:vAnchor="page" w:x="6140" w:y="13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FTI</w:t>
      </w:r>
    </w:p>
    <w:p>
      <w:pPr>
        <w:pStyle w:val="Normal"/>
        <w:framePr w:w="2844" w:hAnchor="page" w:vAnchor="page" w:x="9102" w:y="1342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New York Stock Exchange</w:t>
      </w:r>
    </w:p>
    <w:p>
      <w:pPr>
        <w:pStyle w:val="Normal"/>
        <w:framePr w:w="1662" w:hAnchor="page" w:vAnchor="page" w:x="1662" w:y="1322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Title of Each Class</w:t>
      </w:r>
    </w:p>
    <w:p>
      <w:pPr>
        <w:pStyle w:val="Normal"/>
        <w:framePr w:w="776" w:hAnchor="page" w:vAnchor="page" w:x="6052" w:y="1322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Symbol</w:t>
      </w:r>
    </w:p>
    <w:p>
      <w:pPr>
        <w:pStyle w:val="Normal"/>
        <w:framePr w:w="1831" w:hAnchor="page" w:vAnchor="page" w:x="9504" w:y="13226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on Which Registered</w:t>
      </w:r>
    </w:p>
    <w:p>
      <w:pPr>
        <w:pStyle w:val="Normal"/>
        <w:framePr w:w="814" w:hAnchor="page" w:vAnchor="page" w:x="6037" w:y="1306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Trading</w:t>
      </w:r>
    </w:p>
    <w:p>
      <w:pPr>
        <w:pStyle w:val="Normal"/>
        <w:framePr w:w="2107" w:hAnchor="page" w:vAnchor="page" w:x="9389" w:y="13067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Name of Each Exchange</w:t>
      </w:r>
    </w:p>
    <w:p>
      <w:pPr>
        <w:pStyle w:val="Normal"/>
        <w:framePr w:w="5887" w:hAnchor="page" w:vAnchor="page" w:x="3820" w:y="125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Securities registered pursuant to Section 12(b) of the Act:</w:t>
      </w:r>
    </w:p>
    <w:p>
      <w:pPr>
        <w:pStyle w:val="Normal"/>
        <w:framePr w:w="435" w:hAnchor="page" w:vAnchor="page" w:x="276" w:y="12114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565" w:hAnchor="page" w:vAnchor="page" w:x="739" w:y="121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Pre-commencement communications pursuant to Rule 13e-4(c) under the Exchange Act (17 CFR 240.13e-4(c))</w:t>
      </w:r>
    </w:p>
    <w:p>
      <w:pPr>
        <w:pStyle w:val="Normal"/>
        <w:framePr w:w="435" w:hAnchor="page" w:vAnchor="page" w:x="276" w:y="11752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0617" w:hAnchor="page" w:vAnchor="page" w:x="739" w:y="1175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Pre-commencement communications pursuant to Rule 14d-2(b) under the Exchange Act (17 CFR 240.14d-2(b))</w:t>
      </w:r>
    </w:p>
    <w:p>
      <w:pPr>
        <w:pStyle w:val="Normal"/>
        <w:framePr w:w="435" w:hAnchor="page" w:vAnchor="page" w:x="276" w:y="11390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561" w:hAnchor="page" w:vAnchor="page" w:x="739" w:y="1139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Soliciting material pursuant to Rule 14a-12 under the Exchange Act (17 CFR 240.14a-12)</w:t>
      </w:r>
    </w:p>
    <w:p>
      <w:pPr>
        <w:pStyle w:val="Normal"/>
        <w:framePr w:w="435" w:hAnchor="page" w:vAnchor="page" w:x="276" w:y="11029"/>
        <w:widowControl w:val="off"/>
        <w:autoSpaceDE w:val="off"/>
        <w:autoSpaceDN w:val="off"/>
        <w:spacing w:before="0" w:after="0" w:line="224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8540" w:hAnchor="page" w:vAnchor="page" w:x="739" w:y="110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Written communications pursuant to Rule 425 under the Securities Act (17 CFR 230.425)</w:t>
      </w:r>
    </w:p>
    <w:p>
      <w:pPr>
        <w:pStyle w:val="Normal"/>
        <w:framePr w:w="2214" w:hAnchor="page" w:vAnchor="page" w:x="276" w:y="106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following provisions:</w:t>
      </w:r>
    </w:p>
    <w:p>
      <w:pPr>
        <w:pStyle w:val="Normal"/>
        <w:framePr w:w="13785" w:hAnchor="page" w:vAnchor="page" w:x="276" w:y="104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 below if the Form 8-K filing is intended to simultaneously satisfy the filing obligation of the registrant under any of the</w:t>
      </w:r>
    </w:p>
    <w:p>
      <w:pPr>
        <w:pStyle w:val="Normal"/>
        <w:framePr w:w="5074" w:hAnchor="page" w:vAnchor="page" w:x="4139" w:y="9653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(Former name or former address, if changed since last report)</w:t>
      </w:r>
    </w:p>
    <w:p>
      <w:pPr>
        <w:pStyle w:val="Normal"/>
        <w:framePr w:w="1713" w:hAnchor="page" w:vAnchor="page" w:x="5559" w:y="94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4356" w:hAnchor="page" w:vAnchor="page" w:x="4438" w:y="903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(Registrant’s telephone number, including area code)</w:t>
      </w:r>
    </w:p>
    <w:p>
      <w:pPr>
        <w:pStyle w:val="Normal"/>
        <w:framePr w:w="1960" w:hAnchor="page" w:vAnchor="page" w:x="5456" w:y="8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+44 203-429-3950</w:t>
      </w:r>
    </w:p>
    <w:p>
      <w:pPr>
        <w:pStyle w:val="Normal"/>
        <w:framePr w:w="3239" w:hAnchor="page" w:vAnchor="page" w:x="1005" w:y="840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(Address of principal executive offices)</w:t>
      </w:r>
    </w:p>
    <w:p>
      <w:pPr>
        <w:pStyle w:val="Normal"/>
        <w:framePr w:w="1038" w:hAnchor="page" w:vAnchor="page" w:x="9900" w:y="8409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(Zip Code)</w:t>
      </w:r>
    </w:p>
    <w:p>
      <w:pPr>
        <w:pStyle w:val="Normal"/>
        <w:framePr w:w="1880" w:hAnchor="page" w:vAnchor="page" w:x="1591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Kingdom</w:t>
      </w:r>
    </w:p>
    <w:p>
      <w:pPr>
        <w:pStyle w:val="Normal"/>
        <w:framePr w:w="1134" w:hAnchor="page" w:vAnchor="page" w:x="9880" w:y="81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NE6 3PL</w:t>
      </w:r>
    </w:p>
    <w:p>
      <w:pPr>
        <w:pStyle w:val="Normal"/>
        <w:framePr w:w="2357" w:hAnchor="page" w:vAnchor="page" w:x="1392" w:y="795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Newcastle Upon Tyne</w:t>
      </w:r>
    </w:p>
    <w:p>
      <w:pPr>
        <w:pStyle w:val="Normal"/>
        <w:framePr w:w="2043" w:hAnchor="page" w:vAnchor="page" w:x="1523" w:y="77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Wincomblee Road</w:t>
      </w:r>
    </w:p>
    <w:p>
      <w:pPr>
        <w:pStyle w:val="Normal"/>
        <w:framePr w:w="1796" w:hAnchor="page" w:vAnchor="page" w:x="1626" w:y="74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Hadrian House,</w:t>
      </w:r>
    </w:p>
    <w:p>
      <w:pPr>
        <w:pStyle w:val="Normal"/>
        <w:framePr w:w="1531" w:hAnchor="page" w:vAnchor="page" w:x="1716" w:y="703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of incorporation)</w:t>
      </w:r>
    </w:p>
    <w:p>
      <w:pPr>
        <w:pStyle w:val="Normal"/>
        <w:framePr w:w="1243" w:hAnchor="page" w:vAnchor="page" w:x="5858" w:y="703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File Number)</w:t>
      </w:r>
    </w:p>
    <w:p>
      <w:pPr>
        <w:pStyle w:val="Normal"/>
        <w:framePr w:w="1629" w:hAnchor="page" w:vAnchor="page" w:x="9588" w:y="703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Identification No.)</w:t>
      </w:r>
    </w:p>
    <w:p>
      <w:pPr>
        <w:pStyle w:val="Normal"/>
        <w:framePr w:w="2292" w:hAnchor="page" w:vAnchor="page" w:x="1400" w:y="687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(State or other jurisdiction</w:t>
      </w:r>
    </w:p>
    <w:p>
      <w:pPr>
        <w:pStyle w:val="Normal"/>
        <w:framePr w:w="1218" w:hAnchor="page" w:vAnchor="page" w:x="5868" w:y="687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(Commission</w:t>
      </w:r>
    </w:p>
    <w:p>
      <w:pPr>
        <w:pStyle w:val="Normal"/>
        <w:framePr w:w="1516" w:hAnchor="page" w:vAnchor="page" w:x="9635" w:y="6875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(I.R.S. Employer</w:t>
      </w:r>
    </w:p>
    <w:p>
      <w:pPr>
        <w:pStyle w:val="Normal"/>
        <w:framePr w:w="1880" w:hAnchor="page" w:vAnchor="page" w:x="1591" w:y="66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United Kingdom</w:t>
      </w:r>
    </w:p>
    <w:p>
      <w:pPr>
        <w:pStyle w:val="Normal"/>
        <w:framePr w:w="1231" w:hAnchor="page" w:vAnchor="page" w:x="5883" w:y="66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001-37983</w:t>
      </w:r>
    </w:p>
    <w:p>
      <w:pPr>
        <w:pStyle w:val="Normal"/>
        <w:framePr w:w="1346" w:hAnchor="page" w:vAnchor="page" w:x="9726" w:y="66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98-1283037</w:t>
      </w:r>
    </w:p>
    <w:p>
      <w:pPr>
        <w:pStyle w:val="Normal"/>
        <w:framePr w:w="5338" w:hAnchor="page" w:vAnchor="page" w:x="4049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(Exact name of registrant as specified in its charter)</w:t>
      </w:r>
    </w:p>
    <w:p>
      <w:pPr>
        <w:pStyle w:val="Normal"/>
        <w:framePr w:w="4179" w:hAnchor="page" w:vAnchor="page" w:x="4508" w:y="5197"/>
        <w:widowControl w:val="off"/>
        <w:autoSpaceDE w:val="off"/>
        <w:autoSpaceDN w:val="off"/>
        <w:spacing w:before="0" w:after="0" w:line="513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6"/>
          <w:szCs w:val="46"/>
        </w:rPr>
        <w:t>TechnipFMC plc</w:t>
      </w:r>
    </w:p>
    <w:p>
      <w:pPr>
        <w:pStyle w:val="Normal"/>
        <w:framePr w:w="5388" w:hAnchor="page" w:vAnchor="page" w:x="3844" w:y="4289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Date of Report (Date of earliest event reported)</w:t>
      </w:r>
    </w:p>
    <w:p>
      <w:pPr>
        <w:pStyle w:val="Normal"/>
        <w:framePr w:w="1938" w:hAnchor="page" w:vAnchor="page" w:x="5412" w:y="4029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March 28, 2022</w:t>
      </w:r>
    </w:p>
    <w:p>
      <w:pPr>
        <w:pStyle w:val="Normal"/>
        <w:framePr w:w="4496" w:hAnchor="page" w:vAnchor="page" w:x="4249" w:y="3537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of The Securities Exchange Act of 1934</w:t>
      </w:r>
    </w:p>
    <w:p>
      <w:pPr>
        <w:pStyle w:val="Normal"/>
        <w:framePr w:w="3781" w:hAnchor="page" w:vAnchor="page" w:x="4574" w:y="3277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Pursuant to Section 13 OR 15(d)</w:t>
      </w:r>
    </w:p>
    <w:p>
      <w:pPr>
        <w:pStyle w:val="Normal"/>
        <w:framePr w:w="2628" w:hAnchor="page" w:vAnchor="page" w:x="5099" w:y="3016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CURRENT REPORT</w:t>
      </w:r>
    </w:p>
    <w:p>
      <w:pPr>
        <w:pStyle w:val="Normal"/>
        <w:framePr w:w="2262" w:hAnchor="page" w:vAnchor="page" w:x="5325" w:y="2002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FORM 8-K</w:t>
      </w:r>
    </w:p>
    <w:p>
      <w:pPr>
        <w:pStyle w:val="Normal"/>
        <w:framePr w:w="2877" w:hAnchor="page" w:vAnchor="page" w:x="4985" w:y="1121"/>
        <w:widowControl w:val="off"/>
        <w:autoSpaceDE w:val="off"/>
        <w:autoSpaceDN w:val="off"/>
        <w:spacing w:before="0" w:after="0" w:line="25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3"/>
          <w:szCs w:val="23"/>
        </w:rPr>
        <w:t>Washington, D.C. 20549</w:t>
      </w:r>
    </w:p>
    <w:p>
      <w:pPr>
        <w:pStyle w:val="Normal"/>
        <w:framePr w:w="8608" w:hAnchor="page" w:vAnchor="page" w:x="2440" w:y="729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SECURITIES AND EXCHANGE COMMISSION</w:t>
      </w:r>
    </w:p>
    <w:p>
      <w:pPr>
        <w:pStyle w:val="Normal"/>
        <w:framePr w:w="3374" w:hAnchor="page" w:vAnchor="page" w:x="4819" w:y="338"/>
        <w:widowControl w:val="off"/>
        <w:autoSpaceDE w:val="off"/>
        <w:autoSpaceDN w:val="off"/>
        <w:spacing w:before="0" w:after="0" w:line="38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5"/>
          <w:szCs w:val="35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2.8pt;margin-top:7.5pt;z-index:-1677720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2.8pt;margin-top:11.15pt;z-index:-1677720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245.7pt;margin-top:87.05pt;z-index:-16777200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45.7pt;margin-top:137.7pt;z-index:-16777196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245.7pt;margin-top:246.2pt;z-index:-16777192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245.7pt;margin-top:315.65pt;z-index:-16777188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245.7pt;margin-top:508.75pt;z-index:-16777184;width:12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14.2pt;margin-top:669.35pt;z-index:-16777180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19.65pt;margin-top:669.35pt;z-index:-16777176;width:190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2.8pt;margin-top:669.35pt;z-index:-16777172;width:20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2.8pt;margin-top:809.65pt;z-index:-16777168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2.8pt;margin-top:813.25pt;z-index:-16777164;width:592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</w:p>
    <w:p>
      <w:pPr>
        <w:pStyle w:val="Normal"/>
        <w:framePr w:w="575" w:hAnchor="page" w:vAnchor="page" w:x="276" w:y="5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104</w:t>
      </w:r>
    </w:p>
    <w:p>
      <w:pPr>
        <w:pStyle w:val="Normal"/>
        <w:framePr w:w="344" w:hAnchor="page" w:vAnchor="page" w:x="768" w:y="5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8671" w:hAnchor="page" w:vAnchor="page" w:x="1216" w:y="54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Cover Page Interactive Data File (formatted as inline XBRL and contained in Exhibit 10.1)</w:t>
      </w:r>
    </w:p>
    <w:p>
      <w:pPr>
        <w:pStyle w:val="Normal"/>
        <w:framePr w:w="934" w:hAnchor="page" w:vAnchor="page" w:x="276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10.1     </w:t>
      </w:r>
    </w:p>
    <w:p>
      <w:pPr>
        <w:pStyle w:val="Normal"/>
        <w:framePr w:w="7611" w:hAnchor="page" w:vAnchor="page" w:x="1216" w:y="514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9"/>
          <w:szCs w:val="19"/>
        </w:rPr>
        <w:t>Separation, Release and Waiver of Claims and Restrictive Covenant Agreement</w:t>
      </w:r>
    </w:p>
    <w:p>
      <w:pPr>
        <w:pStyle w:val="Normal"/>
        <w:framePr w:w="452" w:hAnchor="page" w:vAnchor="page" w:x="408" w:y="485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No.</w:t>
      </w:r>
    </w:p>
    <w:p>
      <w:pPr>
        <w:pStyle w:val="Normal"/>
        <w:framePr w:w="273" w:hAnchor="page" w:vAnchor="page" w:x="768" w:y="4864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5"/>
          <w:szCs w:val="15"/>
        </w:rPr>
        <w:t xml:space="preserve">  </w:t>
      </w:r>
    </w:p>
    <w:p>
      <w:pPr>
        <w:pStyle w:val="Normal"/>
        <w:framePr w:w="1095" w:hAnchor="page" w:vAnchor="page" w:x="1216" w:y="4850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Description</w:t>
      </w:r>
    </w:p>
    <w:p>
      <w:pPr>
        <w:pStyle w:val="Normal"/>
        <w:framePr w:w="766" w:hAnchor="page" w:vAnchor="page" w:x="277" w:y="4691"/>
        <w:widowControl w:val="off"/>
        <w:autoSpaceDE w:val="off"/>
        <w:autoSpaceDN w:val="off"/>
        <w:spacing w:before="0" w:after="0" w:line="171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5"/>
          <w:szCs w:val="15"/>
        </w:rPr>
        <w:t>Exhibit</w:t>
      </w:r>
    </w:p>
    <w:p>
      <w:pPr>
        <w:pStyle w:val="Normal"/>
        <w:framePr w:w="1153" w:hAnchor="page" w:vAnchor="page" w:x="276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9.01</w:t>
      </w:r>
    </w:p>
    <w:p>
      <w:pPr>
        <w:pStyle w:val="Normal"/>
        <w:framePr w:w="3673" w:hAnchor="page" w:vAnchor="page" w:x="1563" w:y="42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Financial Statements and Exhibits.</w:t>
      </w:r>
    </w:p>
    <w:p>
      <w:pPr>
        <w:pStyle w:val="Normal"/>
        <w:framePr w:w="7693" w:hAnchor="page" w:vAnchor="page" w:x="276" w:y="358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which is attached hereto as Exhibit 10.1 and incorporated herein by reference.</w:t>
      </w:r>
    </w:p>
    <w:p>
      <w:pPr>
        <w:pStyle w:val="Normal"/>
        <w:framePr w:w="14241" w:hAnchor="page" w:vAnchor="page" w:x="276" w:y="335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foregoing summary of the Agreement does not purport to be complete and is qualified in its entirety by the complete text of the Agreement, a copy</w:t>
      </w:r>
    </w:p>
    <w:p>
      <w:pPr>
        <w:pStyle w:val="Normal"/>
        <w:framePr w:w="5708" w:hAnchor="page" w:vAnchor="page" w:x="276" w:y="289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regarding confidential information and non-disparagement.</w:t>
      </w:r>
    </w:p>
    <w:p>
      <w:pPr>
        <w:pStyle w:val="Normal"/>
        <w:framePr w:w="13861" w:hAnchor="page" w:vAnchor="page" w:x="276" w:y="266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for a release of claims, 24-month non-compete and non-solicitation covenants, his ongoing cooperation with the Company and covenants</w:t>
      </w:r>
    </w:p>
    <w:p>
      <w:pPr>
        <w:pStyle w:val="Normal"/>
        <w:framePr w:w="14057" w:hAnchor="page" w:vAnchor="page" w:x="276" w:y="24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employer’s group medical and dental plans, and (d) reimbursement for up to $10,000 of financial planning and tax preparation assistance for 2022, in</w:t>
      </w:r>
    </w:p>
    <w:p>
      <w:pPr>
        <w:pStyle w:val="Normal"/>
        <w:framePr w:w="14125" w:hAnchor="page" w:vAnchor="page" w:x="276" w:y="21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30 days of his separation, (c) continued medical and dental benefits for up to 24 months or, if earlier, the date he is eligible for coverage under another</w:t>
      </w:r>
    </w:p>
    <w:p>
      <w:pPr>
        <w:pStyle w:val="Normal"/>
        <w:framePr w:w="14161" w:hAnchor="page" w:vAnchor="page" w:x="276" w:y="19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two times his base salary and annual target incentive, payable over 48 bi-weekly pay periods, (b) a pro rata incentive for 2022 at target, payable within</w:t>
      </w:r>
    </w:p>
    <w:p>
      <w:pPr>
        <w:pStyle w:val="Normal"/>
        <w:framePr w:w="14003" w:hAnchor="page" w:vAnchor="page" w:x="276" w:y="17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Agreement (the “Agreement”) dated March 28, 2022 pursuant to which Mr. Glickman will be entitled to the following benefits: (a) payment equal to</w:t>
      </w:r>
    </w:p>
    <w:p>
      <w:pPr>
        <w:pStyle w:val="Normal"/>
        <w:framePr w:w="13432" w:hAnchor="page" w:vAnchor="page" w:x="276" w:y="15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connection with Mr. Glickman’s departure, the Company entered into a Separation, Release and Waiver of Claims and Restrictive Covenant</w:t>
      </w:r>
    </w:p>
    <w:p>
      <w:pPr>
        <w:pStyle w:val="Normal"/>
        <w:framePr w:w="11762" w:hAnchor="page" w:vAnchor="page" w:x="276" w:y="10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continue as an employee of the Company from April 25, 2022, to June 30, 2022, to ensure an orderly transition of his duties.</w:t>
      </w:r>
    </w:p>
    <w:p>
      <w:pPr>
        <w:pStyle w:val="Normal"/>
        <w:framePr w:w="13553" w:hAnchor="page" w:vAnchor="page" w:x="276" w:y="8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Effective April 24, 2022, Barry Glickman will no longer serve as President of Surface of TechnipFMC plc (the “Company”). Mr. Glickman will</w:t>
      </w:r>
    </w:p>
    <w:p>
      <w:pPr>
        <w:pStyle w:val="Normal"/>
        <w:framePr w:w="3633" w:hAnchor="page" w:vAnchor="page" w:x="1563" w:y="4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Arrangements of Certain Officers.</w:t>
      </w:r>
    </w:p>
    <w:p>
      <w:pPr>
        <w:pStyle w:val="Normal"/>
        <w:framePr w:w="1153" w:hAnchor="page" w:vAnchor="page" w:x="276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Item 5.02</w:t>
      </w:r>
    </w:p>
    <w:p>
      <w:pPr>
        <w:pStyle w:val="Normal"/>
        <w:framePr w:w="11555" w:hAnchor="page" w:vAnchor="page" w:x="1563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Departure of Directors or Certain Officers; Election of Directors; Appointment of Certain Officers; Compensatory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7pt;margin-top:1pt;z-index:-16777160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2.8pt;margin-top:1pt;z-index:-1677715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2.8pt;margin-top:3.9pt;z-index:-167771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597.95pt;margin-top:1pt;z-index:-16777148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2.8pt;margin-top:1pt;z-index:-16777144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59.8pt;margin-top:249.8pt;z-index:-1677714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2.8pt;margin-top:249.8pt;z-index:-16777136;width:26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59.8pt;margin-top:265.75pt;z-index:-16777132;width:309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</w:p>
    <w:p>
      <w:pPr>
        <w:pStyle w:val="Normal"/>
        <w:framePr w:w="721" w:hAnchor="page" w:vAnchor="page" w:x="6192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Title:</w:t>
      </w:r>
    </w:p>
    <w:p>
      <w:pPr>
        <w:pStyle w:val="Normal"/>
        <w:framePr w:w="5157" w:hAnchor="page" w:vAnchor="page" w:x="6887" w:y="237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Vice President and Chief Financial Officer</w:t>
      </w:r>
    </w:p>
    <w:p>
      <w:pPr>
        <w:pStyle w:val="Normal"/>
        <w:framePr w:w="2143" w:hAnchor="page" w:vAnchor="page" w:x="276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Dated: April 1, 2022</w:t>
      </w:r>
    </w:p>
    <w:p>
      <w:pPr>
        <w:pStyle w:val="Normal"/>
        <w:framePr w:w="2390" w:hAnchor="page" w:vAnchor="page" w:x="6192" w:y="213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Name:    Victoria Lazar</w:t>
      </w:r>
    </w:p>
    <w:p>
      <w:pPr>
        <w:pStyle w:val="Normal"/>
        <w:framePr w:w="562" w:hAnchor="page" w:vAnchor="page" w:x="6192" w:y="190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</w:t>
      </w:r>
    </w:p>
    <w:p>
      <w:pPr>
        <w:pStyle w:val="Normal"/>
        <w:framePr w:w="1833" w:hAnchor="page" w:vAnchor="page" w:x="6887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Victoria Lazar</w:t>
      </w:r>
    </w:p>
    <w:p>
      <w:pPr>
        <w:pStyle w:val="Normal"/>
        <w:framePr w:w="1897" w:hAnchor="page" w:vAnchor="page" w:x="6192" w:y="141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3787" w:hAnchor="page" w:vAnchor="page" w:x="276" w:y="9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undersigned hereunto duly authorized.</w:t>
      </w:r>
    </w:p>
    <w:p>
      <w:pPr>
        <w:pStyle w:val="Normal"/>
        <w:framePr w:w="13438" w:hAnchor="page" w:vAnchor="page" w:x="276" w:y="6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15" w:hAnchor="page" w:vAnchor="page" w:x="5558" w:y="2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7pt;margin-top:1pt;z-index:-1677712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2.8pt;margin-top:1pt;z-index:-1677712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2.8pt;margin-top:3.9pt;z-index:-167771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597.95pt;margin-top:1pt;z-index:-16777116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2.8pt;margin-top:1pt;z-index:-16777112;width:2.7pt;height: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343.35pt;margin-top:104.45pt;z-index:-16777108;width:2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</w:p>
    <w:p>
      <w:pPr>
        <w:pStyle w:val="Normal"/>
        <w:framePr w:w="344" w:hAnchor="page" w:vAnchor="page" w:x="6130" w:y="78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</w:t>
      </w:r>
    </w:p>
    <w:p>
      <w:pPr>
        <w:pStyle w:val="Normal"/>
        <w:framePr w:w="13592" w:hAnchor="page" w:vAnchor="page" w:x="276" w:y="750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acknowledges that the Consideration includes amounts and value that are in addition to anything of value to which Employee already is entitled.</w:t>
      </w:r>
    </w:p>
    <w:p>
      <w:pPr>
        <w:pStyle w:val="Normal"/>
        <w:framePr w:w="13988" w:hAnchor="page" w:vAnchor="page" w:x="276" w:y="727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treated, and will not be treated, as compensation for purposes of eligibility for benefits under any benefit plan of the Company. Employee agrees and</w:t>
      </w:r>
    </w:p>
    <w:p>
      <w:pPr>
        <w:pStyle w:val="Normal"/>
        <w:framePr w:w="14228" w:hAnchor="page" w:vAnchor="page" w:x="276" w:y="704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Agreement will be treated as taxable compensation, subject to standard tax and other applicable withholdings, but are not intended by either party to be</w:t>
      </w:r>
    </w:p>
    <w:p>
      <w:pPr>
        <w:pStyle w:val="Normal"/>
        <w:framePr w:w="14168" w:hAnchor="page" w:vAnchor="page" w:x="276" w:y="681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Collectively, the amount and value detailed above shall be referred to as the “Consideration.” Amounts the Company is paying in consideration for the</w:t>
      </w:r>
    </w:p>
    <w:p>
      <w:pPr>
        <w:pStyle w:val="Normal"/>
        <w:framePr w:w="453" w:hAnchor="page" w:vAnchor="page" w:x="1332" w:y="63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D.</w:t>
      </w:r>
    </w:p>
    <w:p>
      <w:pPr>
        <w:pStyle w:val="Normal"/>
        <w:framePr w:w="10567" w:hAnchor="page" w:vAnchor="page" w:x="1795" w:y="634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Reimbursements for up to $10,000 of tax and financial planning services for 2022, to be used by June 30, 2022.</w:t>
      </w:r>
    </w:p>
    <w:p>
      <w:pPr>
        <w:pStyle w:val="Normal"/>
        <w:framePr w:w="3511" w:hAnchor="page" w:vAnchor="page" w:x="1795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paragraph 3 of this Agreement; and</w:t>
      </w:r>
    </w:p>
    <w:p>
      <w:pPr>
        <w:pStyle w:val="Normal"/>
        <w:framePr w:w="440" w:hAnchor="page" w:vAnchor="page" w:x="1332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C.</w:t>
      </w:r>
    </w:p>
    <w:p>
      <w:pPr>
        <w:pStyle w:val="Normal"/>
        <w:framePr w:w="12248" w:hAnchor="page" w:vAnchor="page" w:x="1795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entire premium cost for health care insurance continuation (the “Company-Subsidized Health Care Coverage”), as detailed in</w:t>
      </w:r>
    </w:p>
    <w:p>
      <w:pPr>
        <w:pStyle w:val="Normal"/>
        <w:framePr w:w="8935" w:hAnchor="page" w:vAnchor="page" w:x="1795" w:y="53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set forth in Schedule A to this Agreement, is to be paid within 30 days of the Separation Date;</w:t>
      </w:r>
    </w:p>
    <w:p>
      <w:pPr>
        <w:pStyle w:val="Normal"/>
        <w:framePr w:w="440" w:hAnchor="page" w:vAnchor="page" w:x="1332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</w:t>
      </w:r>
    </w:p>
    <w:p>
      <w:pPr>
        <w:pStyle w:val="Normal"/>
        <w:framePr w:w="12542" w:hAnchor="page" w:vAnchor="page" w:x="1795" w:y="51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 2022 incentive (prorated based on days of service in 2022), based upon Employee’s target 2022 incentive at target performance, as</w:t>
      </w:r>
    </w:p>
    <w:p>
      <w:pPr>
        <w:pStyle w:val="Normal"/>
        <w:framePr w:w="1712" w:hAnchor="page" w:vAnchor="page" w:x="1795" w:y="48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Agreement;</w:t>
      </w:r>
    </w:p>
    <w:p>
      <w:pPr>
        <w:pStyle w:val="Normal"/>
        <w:framePr w:w="12448" w:hAnchor="page" w:vAnchor="page" w:x="1795" w:y="45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commencing on the next payroll period after the Separation Date, subject to continued compliance with paragraphs 7, 8, 9 and 10 of</w:t>
      </w:r>
    </w:p>
    <w:p>
      <w:pPr>
        <w:pStyle w:val="Normal"/>
        <w:framePr w:w="11507" w:hAnchor="page" w:vAnchor="page" w:x="1795" w:y="433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Employee’s target 2022 annual incentive, as set forth in Schedule A to this Agreement, to be paid in 48 equal installments</w:t>
      </w:r>
    </w:p>
    <w:p>
      <w:pPr>
        <w:pStyle w:val="Normal"/>
        <w:framePr w:w="453" w:hAnchor="page" w:vAnchor="page" w:x="1332" w:y="41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A.</w:t>
      </w:r>
    </w:p>
    <w:p>
      <w:pPr>
        <w:pStyle w:val="Normal"/>
        <w:framePr w:w="11448" w:hAnchor="page" w:vAnchor="page" w:x="1795" w:y="410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Severance pay equal to the sum of two (2) times Employee’s base salary as in effect on the date hereof plus two (2) times</w:t>
      </w:r>
    </w:p>
    <w:p>
      <w:pPr>
        <w:pStyle w:val="Normal"/>
        <w:framePr w:w="9673" w:hAnchor="page" w:vAnchor="page" w:x="276" w:y="374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including the releases, waivers, and promises in the Agreement, the Company will provide Employee:</w:t>
      </w:r>
    </w:p>
    <w:p>
      <w:pPr>
        <w:pStyle w:val="Normal"/>
        <w:framePr w:w="13308" w:hAnchor="page" w:vAnchor="page" w:x="748" w:y="35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2. Consideration for the Releases, Waivers, and Promises in the Agreement.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consideration of Employee’s execution of the Agreement,</w:t>
      </w:r>
    </w:p>
    <w:p>
      <w:pPr>
        <w:pStyle w:val="Normal"/>
        <w:framePr w:w="1404" w:hAnchor="page" w:vAnchor="page" w:x="276" w:y="30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resignations.</w:t>
      </w:r>
    </w:p>
    <w:p>
      <w:pPr>
        <w:pStyle w:val="Normal"/>
        <w:framePr w:w="14153" w:hAnchor="page" w:vAnchor="page" w:x="276" w:y="28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promptly upon request by the Company or any member of the Company Group, any additional documents reasonably necessary to effectuate any such</w:t>
      </w:r>
    </w:p>
    <w:p>
      <w:pPr>
        <w:pStyle w:val="Normal"/>
        <w:framePr w:w="14217" w:hAnchor="page" w:vAnchor="page" w:x="276" w:y="25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may hold by or through the Company Group, including but not limited to industry associations or similar roles. Employee agrees to execute,</w:t>
      </w:r>
    </w:p>
    <w:p>
      <w:pPr>
        <w:pStyle w:val="Normal"/>
        <w:framePr w:w="13728" w:hAnchor="page" w:vAnchor="page" w:x="276" w:y="23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affiliates or subsidiaries (collectively, “Company Group”) including President – Surface as well as any other positions, roles, or appointments that</w:t>
      </w:r>
    </w:p>
    <w:p>
      <w:pPr>
        <w:pStyle w:val="Normal"/>
        <w:framePr w:w="14306" w:hAnchor="page" w:vAnchor="page" w:x="276" w:y="21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Separation Date, as determined by the Company, Employee will resign from all officer and director positions Employee holds with the Company and its</w:t>
      </w:r>
    </w:p>
    <w:p>
      <w:pPr>
        <w:pStyle w:val="Normal"/>
        <w:framePr w:w="12894" w:hAnchor="page" w:vAnchor="page" w:x="748" w:y="18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1. Timing of Employee’s Departure: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Employee’s last date of employment (“Separation Date”) will be June 30, 2022. On or prior to the</w:t>
      </w:r>
    </w:p>
    <w:p>
      <w:pPr>
        <w:pStyle w:val="Normal"/>
        <w:framePr w:w="12452" w:hAnchor="page" w:vAnchor="page" w:x="276" w:y="143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(“Employee”) and TechnipFMC plc, and FMC Technologies, Inc. (TechnipFMC and FMC Technologies, together, the “Company”).</w:t>
      </w:r>
    </w:p>
    <w:p>
      <w:pPr>
        <w:pStyle w:val="Normal"/>
        <w:framePr w:w="13618" w:hAnchor="page" w:vAnchor="page" w:x="748" w:y="11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Separation, Release and Waiver of Claims and Restrictive Covenant Agreement (the “Agreement”) is entered into between Barry Glickman</w:t>
      </w:r>
    </w:p>
    <w:p>
      <w:pPr>
        <w:pStyle w:val="Normal"/>
        <w:framePr w:w="8269" w:hAnchor="page" w:vAnchor="page" w:x="2827" w:y="7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AND WAIVER OF CLAIMS AND RESTRICTIVE COVENANT AGREEMENT</w:t>
      </w:r>
    </w:p>
    <w:p>
      <w:pPr>
        <w:pStyle w:val="Normal"/>
        <w:framePr w:w="2906" w:hAnchor="page" w:vAnchor="page" w:x="5062" w:y="5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SEPARATION, RELEASE</w:t>
      </w:r>
    </w:p>
    <w:p>
      <w:pPr>
        <w:pStyle w:val="Normal"/>
        <w:framePr w:w="1424" w:hAnchor="page" w:vAnchor="page" w:x="11084" w:y="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Exhibit 10.1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7pt;margin-top:1pt;z-index:-1677710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252.1pt;margin-top:33.55pt;z-index:-16777100;width:113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40.35pt;margin-top:45.1pt;z-index:-16777096;width:33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46pt;margin-top:103pt;z-index:-16777092;width:13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46pt;margin-top:184pt;z-index:-16777088;width:299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</w:p>
    <w:p>
      <w:pPr>
        <w:pStyle w:val="Normal"/>
        <w:framePr w:w="344" w:hAnchor="page" w:vAnchor="page" w:x="6130" w:y="68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</w:t>
      </w:r>
    </w:p>
    <w:p>
      <w:pPr>
        <w:pStyle w:val="Normal"/>
        <w:framePr w:w="1211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paragraph.</w:t>
      </w:r>
    </w:p>
    <w:p>
      <w:pPr>
        <w:pStyle w:val="Normal"/>
        <w:framePr w:w="13776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adjudicatory body. The Company will reimburse Employee for reasonable expenses in connection with the requested cooperation described in this</w:t>
      </w:r>
    </w:p>
    <w:p>
      <w:pPr>
        <w:pStyle w:val="Normal"/>
        <w:framePr w:w="13385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with respect to any items within the scope of this provision and (ii) to provide truthful testimony regarding same to any court, agency, or other</w:t>
      </w:r>
    </w:p>
    <w:p>
      <w:pPr>
        <w:pStyle w:val="Normal"/>
        <w:framePr w:w="14125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foregoing, Employee agrees (i) to meet with a Released Party’s representatives, its counsel or other designees at mutually convenient times and places</w:t>
      </w:r>
    </w:p>
    <w:p>
      <w:pPr>
        <w:pStyle w:val="Normal"/>
        <w:framePr w:w="14124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claims or other disputes involving the Released Parties that relate to matters within the knowledge or responsibility of Employee. Without limiting the</w:t>
      </w:r>
    </w:p>
    <w:p>
      <w:pPr>
        <w:pStyle w:val="Normal"/>
        <w:framePr w:w="13258" w:hAnchor="page" w:vAnchor="page" w:x="748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5. Cooperation.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agrees to cooperate with the Released Parties in the future regarding any pending or subsequently filed litigation,</w:t>
      </w:r>
    </w:p>
    <w:p>
      <w:pPr>
        <w:pStyle w:val="Normal"/>
        <w:framePr w:w="10479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regulation; and any claims under federal, state, or local law, including claims for breach of contract or any tort.</w:t>
      </w:r>
    </w:p>
    <w:p>
      <w:pPr>
        <w:pStyle w:val="Normal"/>
        <w:framePr w:w="14159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Act, the Fair Labor Standards Act, the Texas Labor Code, the Family Medical Leave Act, or any other federal, state or local statute, rule, ordinance, or</w:t>
      </w:r>
    </w:p>
    <w:p>
      <w:pPr>
        <w:pStyle w:val="Normal"/>
        <w:framePr w:w="14275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Civil Rights Act of 1964, the Americans with Disabilities Act, the Age Discrimination in Employment Act, the Older Workers Benefit Protection</w:t>
      </w:r>
    </w:p>
    <w:p>
      <w:pPr>
        <w:pStyle w:val="Normal"/>
        <w:framePr w:w="14309" w:hAnchor="page" w:vAnchor="page" w:x="276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retaliation, harassment, or failure to accommodate; claims for compensation or benefits; claims for wrongful termination of employment under Title VII</w:t>
      </w:r>
    </w:p>
    <w:p>
      <w:pPr>
        <w:pStyle w:val="Normal"/>
        <w:framePr w:w="13682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to and including the Separation Date. Specifically included in this waiver and release are, among other claims, claims of unlawful discrimination,</w:t>
      </w:r>
    </w:p>
    <w:p>
      <w:pPr>
        <w:pStyle w:val="Normal"/>
        <w:framePr w:w="14319" w:hAnchor="page" w:vAnchor="page" w:x="276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group action, known or unknown, that arise from or in any way relate to Employee’s employment, relationship with, or affiliation with the Company, up</w:t>
      </w:r>
    </w:p>
    <w:p>
      <w:pPr>
        <w:pStyle w:val="Normal"/>
        <w:framePr w:w="13808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all claims, demands, actions, causes of action, suits, damages, losses and expenses, of any and every nature whatsoever, individually or as part of a</w:t>
      </w:r>
    </w:p>
    <w:p>
      <w:pPr>
        <w:pStyle w:val="Normal"/>
        <w:framePr w:w="14189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administrators, trustees, fiduciaries and sponsors) and employees (all of whom are referred to in the Agreement as the “Released Parties”), of and from</w:t>
      </w:r>
    </w:p>
    <w:p>
      <w:pPr>
        <w:pStyle w:val="Normal"/>
        <w:framePr w:w="13254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successors, assigns, officers, owners, directors, agents, representatives, attorneys, employee benefit plans (including, without limitation, plan</w:t>
      </w:r>
    </w:p>
    <w:p>
      <w:pPr>
        <w:pStyle w:val="Normal"/>
        <w:framePr w:w="13525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forever releases, discharges and covenants not to sue the Company and its past and present affiliates, as well as their respective past and present</w:t>
      </w:r>
    </w:p>
    <w:p>
      <w:pPr>
        <w:pStyle w:val="Normal"/>
        <w:framePr w:w="14168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Employee, for Employee personally and Employee’s representatives, spouse, heirs, executors, administrators, successors and assigns, fully, finally and</w:t>
      </w:r>
    </w:p>
    <w:p>
      <w:pPr>
        <w:pStyle w:val="Normal"/>
        <w:framePr w:w="13065" w:hAnchor="page" w:vAnchor="page" w:x="748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4. Full and Final Release and Waiver of Claims.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In consideration of the benefits provided by the Company, including the Consideration,</w:t>
      </w:r>
    </w:p>
    <w:p>
      <w:pPr>
        <w:pStyle w:val="Normal"/>
        <w:framePr w:w="4829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participation in Company plans through COBRA.</w:t>
      </w:r>
    </w:p>
    <w:p>
      <w:pPr>
        <w:pStyle w:val="Normal"/>
        <w:framePr w:w="14379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promptly if he is eligible to enroll in the plans of another employer or if Employee or any of his dependents cease to be eligible to continue</w:t>
      </w:r>
    </w:p>
    <w:p>
      <w:pPr>
        <w:pStyle w:val="Normal"/>
        <w:framePr w:w="13836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Employee and his dependents continuing to be eligible to participate in TechnipFMC offered plans through COBRA. Employee agrees to notify</w:t>
      </w:r>
    </w:p>
    <w:p>
      <w:pPr>
        <w:pStyle w:val="Normal"/>
        <w:framePr w:w="14352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offered plans in accordance with COBRA. In addition, Employee’s continued access to the Company-Subsidized Health Care Coverage is dependent</w:t>
      </w:r>
    </w:p>
    <w:p>
      <w:pPr>
        <w:pStyle w:val="Normal"/>
        <w:framePr w:w="14229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Company’s group health, dental and vision plans on the Separation Date and must elect on a timely basis to continue that participation in some or all of</w:t>
      </w:r>
    </w:p>
    <w:p>
      <w:pPr>
        <w:pStyle w:val="Normal"/>
        <w:framePr w:w="14239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for the Company-Subsidized Health Care Coverage, following the Separation Date, Employee’s eligible dependents, if any, must be participating in the</w:t>
      </w:r>
    </w:p>
    <w:p>
      <w:pPr>
        <w:pStyle w:val="Normal"/>
        <w:framePr w:w="14205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plans of another employer (including if eligible prior to the Separation Date) (the “Company Subsidized Health Care Coverage Period”). To be eligible</w:t>
      </w:r>
    </w:p>
    <w:p>
      <w:pPr>
        <w:pStyle w:val="Normal"/>
        <w:framePr w:w="14317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earlier of: (1) the date twenty-four (24) months after the Separation Date; or (2) the date Employee is eligible to enroll in the health, dental and/or vision</w:t>
      </w:r>
    </w:p>
    <w:p>
      <w:pPr>
        <w:pStyle w:val="Normal"/>
        <w:framePr w:w="13737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3. Company-Subsidized Health Care Coverage.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will continue to be eligible for Company-Subsidized Health Care Coverage until the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7pt;margin-top:1pt;z-index:-1677708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2.8pt;margin-top:1pt;z-index:-167770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2.8pt;margin-top:2.45pt;z-index:-1677707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597.95pt;margin-top:1pt;z-index:-167770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2.8pt;margin-top:1pt;z-index:-1677706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46pt;margin-top:18.35pt;z-index:-16777064;width:186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46pt;margin-top:128.3pt;z-index:-16777060;width:18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46pt;margin-top:272.95pt;z-index:-16777056;width:53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</w:p>
    <w:p>
      <w:pPr>
        <w:pStyle w:val="Normal"/>
        <w:framePr w:w="344" w:hAnchor="page" w:vAnchor="page" w:x="6130" w:y="71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</w:t>
      </w:r>
    </w:p>
    <w:p>
      <w:pPr>
        <w:pStyle w:val="Normal"/>
        <w:framePr w:w="2310" w:hAnchor="page" w:vAnchor="page" w:x="276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with a Competitor.</w:t>
      </w:r>
    </w:p>
    <w:p>
      <w:pPr>
        <w:pStyle w:val="Normal"/>
        <w:framePr w:w="14177" w:hAnchor="page" w:vAnchor="page" w:x="276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April 25, 2022 and the Separation Date Employee remains reasonably available to consult with and support the Company and that such employment is</w:t>
      </w:r>
    </w:p>
    <w:p>
      <w:pPr>
        <w:pStyle w:val="Normal"/>
        <w:framePr w:w="13515" w:hAnchor="page" w:vAnchor="page" w:x="276" w:y="63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be a violation of this paragraph if Employee begins employment with another employer on or around April 25, 2022, provided that between</w:t>
      </w:r>
    </w:p>
    <w:p>
      <w:pPr>
        <w:pStyle w:val="Normal"/>
        <w:framePr w:w="14294" w:hAnchor="page" w:vAnchor="page" w:x="276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debt or equity securities of any business organization that is listed on a recognized stock exchange. Employee and the Company agree that it shall</w:t>
      </w:r>
    </w:p>
    <w:p>
      <w:pPr>
        <w:pStyle w:val="Normal"/>
        <w:framePr w:w="14303" w:hAnchor="page" w:vAnchor="page" w:x="276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entities identified in Schedule B to this Agreement; provided, however, that nothing herein shall limit Employee’s right to own not more than 2% of any</w:t>
      </w:r>
    </w:p>
    <w:p>
      <w:pPr>
        <w:pStyle w:val="Normal"/>
        <w:framePr w:w="14085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are competitive with the products or services that are provided, sold, marketed, or manufactured by the Company, including but not limited to the</w:t>
      </w:r>
    </w:p>
    <w:p>
      <w:pPr>
        <w:pStyle w:val="Normal"/>
        <w:framePr w:w="14344" w:hAnchor="page" w:vAnchor="page" w:x="27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capacity to any Competitor. “Competitor” shall mean any entity or business that is engaged in the sale, marketing, manufacturing of products or services</w:t>
      </w:r>
    </w:p>
    <w:p>
      <w:pPr>
        <w:pStyle w:val="Normal"/>
        <w:framePr w:w="14247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 association with any other person, firm, corporation or other business organization, render personal services of any kind, directly or indirectly, in any</w:t>
      </w:r>
    </w:p>
    <w:p>
      <w:pPr>
        <w:pStyle w:val="Normal"/>
        <w:framePr w:w="14254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directly or indirectly, and whether as principal or investor or as an employee, officer, director, manager, partner, consultant, agent or otherwise, alone or</w:t>
      </w:r>
    </w:p>
    <w:p>
      <w:pPr>
        <w:pStyle w:val="Normal"/>
        <w:framePr w:w="14342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twenty-four (24) months following the Separation Date (the “Restricted Period”), Employee shall not, without the prior written consent of the Company,</w:t>
      </w:r>
    </w:p>
    <w:p>
      <w:pPr>
        <w:pStyle w:val="Normal"/>
        <w:framePr w:w="13680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Group. Accordingly, and in consideration of the various promises set forth in this Agreement, Employee agrees that, for a period of</w:t>
      </w:r>
    </w:p>
    <w:p>
      <w:pPr>
        <w:pStyle w:val="Normal"/>
        <w:framePr w:w="14074" w:hAnchor="page" w:vAnchor="page" w:x="276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further acknowledges and agrees that his role for the Company has included critical work involving key strategic and business decisions of</w:t>
      </w:r>
    </w:p>
    <w:p>
      <w:pPr>
        <w:pStyle w:val="Normal"/>
        <w:framePr w:w="13426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Company Group, and that the Company Group will continue to provide him with Confidential Information through the Separation Date.</w:t>
      </w:r>
    </w:p>
    <w:p>
      <w:pPr>
        <w:pStyle w:val="Normal"/>
        <w:framePr w:w="13586" w:hAnchor="page" w:vAnchor="page" w:x="748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9. Non-Competition.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acknowledges and agrees that throughout his employment, he has been provided with Confidential Information</w:t>
      </w:r>
    </w:p>
    <w:p>
      <w:pPr>
        <w:pStyle w:val="Normal"/>
        <w:framePr w:w="12314" w:hAnchor="page" w:vAnchor="page" w:x="276" w:y="344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role in developing or creating at any point during his employment with the Company remains the property of the Company Group.</w:t>
      </w:r>
    </w:p>
    <w:p>
      <w:pPr>
        <w:pStyle w:val="Normal"/>
        <w:framePr w:w="14234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specifically agrees in writing to permit Employee to retain. Employee further agrees that all intellectual property in which he may have had a</w:t>
      </w:r>
    </w:p>
    <w:p>
      <w:pPr>
        <w:pStyle w:val="Normal"/>
        <w:framePr w:w="14303" w:hAnchor="page" w:vAnchor="page" w:x="276" w:y="297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limitation, any device that contains any electronic files or documents) obtained as a result of employment with the Company, except those items that the</w:t>
      </w:r>
    </w:p>
    <w:p>
      <w:pPr>
        <w:pStyle w:val="Normal"/>
        <w:framePr w:w="14269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information and all other Company property, as well as all copies or excerpts of any property, paper or electronic files or documents (including, without</w:t>
      </w:r>
    </w:p>
    <w:p>
      <w:pPr>
        <w:pStyle w:val="Normal"/>
        <w:framePr w:w="14074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disclose this Confidential Information. Employee further agrees to return to the Company prior to the Separation Date all confidential and proprietary</w:t>
      </w:r>
    </w:p>
    <w:p>
      <w:pPr>
        <w:pStyle w:val="Normal"/>
        <w:framePr w:w="13956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proprietary information regarding the Company Group (“Confidential Information”) while working for the Company. Employee agrees not to use or</w:t>
      </w:r>
    </w:p>
    <w:p>
      <w:pPr>
        <w:pStyle w:val="Normal"/>
        <w:framePr w:w="13769" w:hAnchor="page" w:vAnchor="page" w:x="748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8. Confidential Information.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As further detailed below, Employee acknowledges that Employee has had access to and receipt of confidential and</w:t>
      </w:r>
    </w:p>
    <w:p>
      <w:pPr>
        <w:pStyle w:val="Normal"/>
        <w:framePr w:w="2721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media posts or comments).</w:t>
      </w:r>
    </w:p>
    <w:p>
      <w:pPr>
        <w:pStyle w:val="Normal"/>
        <w:framePr w:w="13960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products and services. This prohibition applies to statements in any form or medium, whether orally or in writing (including but not limited to social</w:t>
      </w:r>
    </w:p>
    <w:p>
      <w:pPr>
        <w:pStyle w:val="Normal"/>
        <w:framePr w:w="13682" w:hAnchor="page" w:vAnchor="page" w:x="276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Parties, or to other members of the public, that are in any way disparaging or negative towards the Company Group, the Released Parties, or their</w:t>
      </w:r>
    </w:p>
    <w:p>
      <w:pPr>
        <w:pStyle w:val="Normal"/>
        <w:framePr w:w="13509" w:hAnchor="page" w:vAnchor="page" w:x="748" w:y="101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7. Non-Disparagement.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agrees not to make statements to clients, customers and suppliers of the Company Group or of the Released</w:t>
      </w:r>
    </w:p>
    <w:p>
      <w:pPr>
        <w:pStyle w:val="Normal"/>
        <w:framePr w:w="3929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wrongdoing or unlawful discrimination.</w:t>
      </w:r>
    </w:p>
    <w:p>
      <w:pPr>
        <w:pStyle w:val="Normal"/>
        <w:framePr w:w="13764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admit to any liability or acts of wrongdoing or unlawful discrimination, nor shall the Agreement be considered to be evidence of such liability,</w:t>
      </w:r>
    </w:p>
    <w:p>
      <w:pPr>
        <w:pStyle w:val="Normal"/>
        <w:framePr w:w="13638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6. Non-Admission of Liability.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acknowledges, by entering into this Agreement, that the Company Group and the Released Parties do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7pt;margin-top:1pt;z-index:-1677705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2.8pt;margin-top:1pt;z-index:-167770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2.8pt;margin-top:2.45pt;z-index:-1677704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597.95pt;margin-top:1pt;z-index:-167770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.8pt;margin-top:1pt;z-index:-1677703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6pt;margin-top:18.35pt;z-index:-16777032;width:65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09.75pt;margin-top:18.35pt;z-index:-16777028;width:50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46pt;margin-top:58.85pt;z-index:-16777024;width: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6pt;margin-top:110.95pt;z-index:-16777020;width:108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46pt;margin-top:197.75pt;z-index:-16777016;width:7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</w:p>
    <w:p>
      <w:pPr>
        <w:pStyle w:val="Normal"/>
        <w:framePr w:w="344" w:hAnchor="page" w:vAnchor="page" w:x="6130" w:y="69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</w:t>
      </w:r>
    </w:p>
    <w:p>
      <w:pPr>
        <w:pStyle w:val="Normal"/>
        <w:framePr w:w="10023" w:hAnchor="page" w:vAnchor="page" w:x="748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13. Applicable Law.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Agreement shall be exclusively interpreted under the laws of the state of Texas.</w:t>
      </w:r>
    </w:p>
    <w:p>
      <w:pPr>
        <w:pStyle w:val="Normal"/>
        <w:framePr w:w="4944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restart the running of the Consideration Period.</w:t>
      </w:r>
    </w:p>
    <w:p>
      <w:pPr>
        <w:pStyle w:val="Normal"/>
        <w:framePr w:w="14393" w:hAnchor="page" w:vAnchor="page" w:x="276" w:y="59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of the Agreement by Employee voids the Agreement in its entirety. Employee agrees with the Company that changes, whether material or immaterial, do</w:t>
      </w:r>
    </w:p>
    <w:p>
      <w:pPr>
        <w:pStyle w:val="Normal"/>
        <w:framePr w:w="14197" w:hAnchor="page" w:vAnchor="page" w:x="276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signs the Agreement provided Employee does not revoke the Agreement (the “Effective Date”). Any modification or alteration of any terms</w:t>
      </w:r>
    </w:p>
    <w:p>
      <w:pPr>
        <w:pStyle w:val="Normal"/>
        <w:framePr w:w="13673" w:hAnchor="page" w:vAnchor="page" w:x="276" w:y="552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returned the signed Agreement. Employee can revoke the Agreement by email.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Agreement will become effective on the eighth day after</w:t>
      </w:r>
    </w:p>
    <w:p>
      <w:pPr>
        <w:pStyle w:val="Normal"/>
        <w:framePr w:w="14110" w:hAnchor="page" w:vAnchor="page" w:x="276" w:y="529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revoke the Agreement by delivering a written notice of revocation within the seven (7)-day revocation period to the same person as Employee</w:t>
      </w:r>
    </w:p>
    <w:p>
      <w:pPr>
        <w:pStyle w:val="Normal"/>
        <w:framePr w:w="14312" w:hAnchor="page" w:vAnchor="page" w:x="276" w:y="506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to do so after carefully considering its terms.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Additionally, Employee shall have seven (7) days from the date the Employee signs the Agreement to</w:t>
      </w:r>
    </w:p>
    <w:p>
      <w:pPr>
        <w:pStyle w:val="Normal"/>
        <w:framePr w:w="14277" w:hAnchor="page" w:vAnchor="page" w:x="276" w:y="48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22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nd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day after receipt. If Employee signs and returns the Agreement before the end of the Consideration Period, it is because Employee freely chose</w:t>
      </w:r>
    </w:p>
    <w:p>
      <w:pPr>
        <w:pStyle w:val="Normal"/>
        <w:framePr w:w="14111" w:hAnchor="page" w:vAnchor="page" w:x="276" w:y="459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Employee receives the Agreement (the “Consideration Period”).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must return this signed Agreement to the Company’s representative by</w:t>
      </w:r>
    </w:p>
    <w:p>
      <w:pPr>
        <w:pStyle w:val="Normal"/>
        <w:framePr w:w="13369" w:hAnchor="page" w:vAnchor="page" w:x="276" w:y="436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attorney prior to signing the Agreement. Employee has twenty-one (21) days to consider whether to sign the Agreement from the date</w:t>
      </w:r>
    </w:p>
    <w:p>
      <w:pPr>
        <w:pStyle w:val="Normal"/>
        <w:framePr w:w="13384" w:hAnchor="page" w:vAnchor="page" w:x="748" w:y="413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12. Advice of Counsel, Consideration and Revocation Periods, Other Information. The Company advises Employee to consult with an</w:t>
      </w:r>
    </w:p>
    <w:p>
      <w:pPr>
        <w:pStyle w:val="Normal"/>
        <w:framePr w:w="6980" w:hAnchor="page" w:vAnchor="page" w:x="276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specifically to enforce any of the covenants contained in this Agreement.</w:t>
      </w:r>
    </w:p>
    <w:p>
      <w:pPr>
        <w:pStyle w:val="Normal"/>
        <w:framePr w:w="14189" w:hAnchor="page" w:vAnchor="page" w:x="276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from engaging in activities prohibited by the covenants contained in paragraphs 7, 8, 9, or 10 of this Agreement or such other relief as may be required</w:t>
      </w:r>
    </w:p>
    <w:p>
      <w:pPr>
        <w:pStyle w:val="Normal"/>
        <w:framePr w:w="13939" w:hAnchor="page" w:vAnchor="page" w:x="276" w:y="332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thereof, the Company shall be entitled to seek a temporary restraining order or a preliminary or permanent injunction, or both, restraining Employee</w:t>
      </w:r>
    </w:p>
    <w:p>
      <w:pPr>
        <w:pStyle w:val="Normal"/>
        <w:framePr w:w="13737" w:hAnchor="page" w:vAnchor="page" w:x="276" w:y="30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adequate remedy at law, that it may not be possible to measure damages for such injuries precisely and that, in the event of such a breach or threat</w:t>
      </w:r>
    </w:p>
    <w:p>
      <w:pPr>
        <w:pStyle w:val="Normal"/>
        <w:framePr w:w="13599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contained in paragraphs 7, 8, 9, or 10 of this Agreement will likely result in material and irreparable injury to the Company for which there is no</w:t>
      </w:r>
    </w:p>
    <w:p>
      <w:pPr>
        <w:pStyle w:val="Normal"/>
        <w:framePr w:w="13548" w:hAnchor="page" w:vAnchor="page" w:x="748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11. Injunctive Relief.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Without intending to limit the remedies available to the Company, Employee agrees that a breach of any of the covenants</w:t>
      </w:r>
    </w:p>
    <w:p>
      <w:pPr>
        <w:pStyle w:val="Normal"/>
        <w:framePr w:w="7084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or business relationship of any member of the Company Group.</w:t>
      </w:r>
    </w:p>
    <w:p>
      <w:pPr>
        <w:pStyle w:val="Normal"/>
        <w:framePr w:w="13734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“indirectly” shall include, without limitation, Employee permitting the use of Employee’s name by any Competitor to induce or interfere with any</w:t>
      </w:r>
    </w:p>
    <w:p>
      <w:pPr>
        <w:pStyle w:val="Normal"/>
        <w:framePr w:w="13625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Company Group and any such customer, client, supplier, licensee or other business relation of any member of the Company Group. The term</w:t>
      </w:r>
    </w:p>
    <w:p>
      <w:pPr>
        <w:pStyle w:val="Normal"/>
        <w:framePr w:w="14344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Group to cease doing business with any member of the Company Group, or in any way interfere with the relationship between any member of</w:t>
      </w:r>
    </w:p>
    <w:p>
      <w:pPr>
        <w:pStyle w:val="Normal"/>
        <w:framePr w:w="13586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is, or was during the then most recent twelve-month period, a customer, client, supplier, licensee or other business relation of any member of the</w:t>
      </w:r>
    </w:p>
    <w:p>
      <w:pPr>
        <w:pStyle w:val="Normal"/>
        <w:framePr w:w="14261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entities; or (b) induce or attempt to induce any customer, client, supplier, licensee or other business relation of any member of the Company Group who</w:t>
      </w:r>
    </w:p>
    <w:p>
      <w:pPr>
        <w:pStyle w:val="Normal"/>
        <w:framePr w:w="14163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leave the employ of any member of the Company Group or violate the terms of their respective contracts, or any employment arrangements, with such</w:t>
      </w:r>
    </w:p>
    <w:p>
      <w:pPr>
        <w:pStyle w:val="Normal"/>
        <w:framePr w:w="14183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representative or agent of the Company Group and any member of the Company Group, or solicit, induce or attempt to solicit or induce any of them to</w:t>
      </w:r>
    </w:p>
    <w:p>
      <w:pPr>
        <w:pStyle w:val="Normal"/>
        <w:framePr w:w="14150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 attempt to interfere with the relationship between any person who is, or was during the then most recent twelve-month period, an employee, officer,</w:t>
      </w:r>
    </w:p>
    <w:p>
      <w:pPr>
        <w:pStyle w:val="Normal"/>
        <w:framePr w:w="13627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10. Non-Solicitation.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Employee agrees that, during the Restricted Period, Employee shall not knowingly, directly or indirectly, (a) interfere with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7pt;margin-top:1pt;z-index:-16777012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2.8pt;margin-top:1pt;z-index:-1677700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2.8pt;margin-top:2.45pt;z-index:-1677700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597.95pt;margin-top:1pt;z-index:-1677700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12.8pt;margin-top:1pt;z-index:-1677699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0.85pt;margin-top:18.35pt;z-index:-16776992;width:71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50.3pt;margin-top:139.85pt;z-index:-16776988;width:73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50.85pt;margin-top:215.1pt;z-index:-16776984;width:321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75.35pt;margin-top:215.1pt;z-index:-16776980;width:211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12.8pt;margin-top:226.65pt;z-index:-16776976;width:230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41pt;margin-top:226.65pt;z-index:-16776972;width:47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86.5pt;margin-top:226.65pt;z-index:-1677696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05pt;margin-top:226.65pt;z-index:-16776964;width:257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12.8pt;margin-top:238.25pt;z-index:-16776960;width:264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87.6pt;margin-top:261.4pt;z-index:-16776956;width:18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365.95pt;margin-top:261.4pt;z-index:-16776952;width:235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2.8pt;margin-top:272.95pt;z-index:-16776948;width:342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353.6pt;margin-top:272.95pt;z-index:-16776944;width:31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383.05pt;margin-top:272.95pt;z-index:-16776940;width:210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8pt;margin-top:284.55pt;z-index:-16776936;width:324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335.5pt;margin-top:284.55pt;z-index:-16776932;width: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0.85pt;margin-top:336.6pt;z-index:-16776928;width:67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</w:p>
    <w:p>
      <w:pPr>
        <w:pStyle w:val="Normal"/>
        <w:framePr w:w="344" w:hAnchor="page" w:vAnchor="page" w:x="6130" w:y="74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</w:t>
      </w:r>
    </w:p>
    <w:p>
      <w:pPr>
        <w:pStyle w:val="Normal"/>
        <w:framePr w:w="8587" w:hAnchor="page" w:vAnchor="page" w:x="276" w:y="702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Released Parties in any action filed by Employee or by anyone else on Employee’s behalf.</w:t>
      </w:r>
    </w:p>
    <w:p>
      <w:pPr>
        <w:pStyle w:val="Normal"/>
        <w:framePr w:w="14330" w:hAnchor="page" w:vAnchor="page" w:x="276" w:y="679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agrees that Employee has waived any right—where such right can be waived—to recover monetary damages or other personal relief from the</w:t>
      </w:r>
    </w:p>
    <w:p>
      <w:pPr>
        <w:pStyle w:val="Normal"/>
        <w:framePr w:w="13932" w:hAnchor="page" w:vAnchor="page" w:x="276" w:y="656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Agreement does not limit Employee’s right to receive an award from a Government Agency for information provided to any Government Agencies.</w:t>
      </w:r>
    </w:p>
    <w:p>
      <w:pPr>
        <w:pStyle w:val="Normal"/>
        <w:framePr w:w="13357" w:hAnchor="page" w:vAnchor="page" w:x="276" w:y="633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that may be conducted by any Government Agency, including providing documents or other information, without notice to the Company. The</w:t>
      </w:r>
    </w:p>
    <w:p>
      <w:pPr>
        <w:pStyle w:val="Normal"/>
        <w:framePr w:w="14382" w:hAnchor="page" w:vAnchor="page" w:x="276" w:y="610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Agreement does not limit Employee’s ability to communicate with any Government Agencies or otherwise participate in any investigation or proceeding</w:t>
      </w:r>
    </w:p>
    <w:p>
      <w:pPr>
        <w:pStyle w:val="Normal"/>
        <w:framePr w:w="14294" w:hAnchor="page" w:vAnchor="page" w:x="276" w:y="58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other federal, state or local governmental agency or commission (all of which are referred to in the Agreement as “Government Agencies”). Further, the</w:t>
      </w:r>
    </w:p>
    <w:p>
      <w:pPr>
        <w:pStyle w:val="Normal"/>
        <w:framePr w:w="13862" w:hAnchor="page" w:vAnchor="page" w:x="276" w:y="564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Administration, the Securities and Exchange Commission, the United States Department of Justice, Congress, any agency Inspector General or any</w:t>
      </w:r>
    </w:p>
    <w:p>
      <w:pPr>
        <w:pStyle w:val="Normal"/>
        <w:framePr w:w="12899" w:hAnchor="page" w:vAnchor="page" w:x="276" w:y="540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conducted by the Equal Employment Opportunity Commission, the National Labor Relations Board, the Occupational Safety and Health</w:t>
      </w:r>
    </w:p>
    <w:p>
      <w:pPr>
        <w:pStyle w:val="Normal"/>
        <w:framePr w:w="14250" w:hAnchor="page" w:vAnchor="page" w:x="276" w:y="517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subpoena. Nothing in the Agreement limits Employee’s ability to file a charge or complaint with or from participating in an investigation or proceeding</w:t>
      </w:r>
    </w:p>
    <w:p>
      <w:pPr>
        <w:pStyle w:val="Normal"/>
        <w:framePr w:w="14100" w:hAnchor="page" w:vAnchor="page" w:x="276" w:y="494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lawfully waived or restricted. Nothing in the Agreement prevents Employee from testifying at a hearing, deposition or in court in response to a lawful</w:t>
      </w:r>
    </w:p>
    <w:p>
      <w:pPr>
        <w:pStyle w:val="Normal"/>
        <w:framePr w:w="13803" w:hAnchor="page" w:vAnchor="page" w:x="276" w:y="471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 xml:space="preserve">(vi) which cannot be released by private agreement. 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Nothing in the Agreement will prevent Employee from exercising any rights that cannot be</w:t>
      </w:r>
    </w:p>
    <w:p>
      <w:pPr>
        <w:pStyle w:val="Normal"/>
        <w:framePr w:w="13753" w:hAnchor="page" w:vAnchor="page" w:x="276" w:y="448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and officers insurance, the Company or Company Group Member bylaws, articles of incorporation or any indemnification agreement, or</w:t>
      </w:r>
    </w:p>
    <w:p>
      <w:pPr>
        <w:pStyle w:val="Normal"/>
        <w:framePr w:w="14378" w:hAnchor="page" w:vAnchor="page" w:x="276" w:y="425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policies, (v) for claims for indemnification as an officer or director of the Company or any Company Group Member under applicable directors</w:t>
      </w:r>
    </w:p>
    <w:p>
      <w:pPr>
        <w:pStyle w:val="Normal"/>
        <w:framePr w:w="14069" w:hAnchor="page" w:vAnchor="page" w:x="276" w:y="402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may arise after Employee signs the Agreement, (iv) for reimbursement of reasonable expenses under the Company’s expense reimbursement</w:t>
      </w:r>
    </w:p>
    <w:p>
      <w:pPr>
        <w:pStyle w:val="Normal"/>
        <w:framePr w:w="14126" w:hAnchor="page" w:vAnchor="page" w:x="276" w:y="378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benefits, (ii) for vested rights under ERISA-covered employee benefit plans as applicable on the date Employee signs the Agreement, (iii) that</w:t>
      </w:r>
    </w:p>
    <w:p>
      <w:pPr>
        <w:pStyle w:val="Normal"/>
        <w:framePr w:w="13498" w:hAnchor="page" w:vAnchor="page" w:x="748" w:y="355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17. No Interference with Rights. Nothing in the Agreement is intended to waive claims (i) for unemployment or workers’ compensation</w:t>
      </w:r>
    </w:p>
    <w:p>
      <w:pPr>
        <w:pStyle w:val="Normal"/>
        <w:framePr w:w="12308" w:hAnchor="page" w:vAnchor="page" w:x="748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16. Headings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. The headings in the Agreement are provided for reference only and shall not affect the substance of the Agreement.</w:t>
      </w:r>
    </w:p>
    <w:p>
      <w:pPr>
        <w:pStyle w:val="Normal"/>
        <w:framePr w:w="11087" w:hAnchor="page" w:vAnchor="page" w:x="276" w:y="286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applicable a court of law to be unenforceable, the remainder of the Agreement will continue to be valid and effective.</w:t>
      </w:r>
    </w:p>
    <w:p>
      <w:pPr>
        <w:pStyle w:val="Normal"/>
        <w:framePr w:w="13678" w:hAnchor="page" w:vAnchor="page" w:x="276" w:y="26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enforceable. All other provisions of the Agreement are similarly severable, and if any other part of the Agreement is found by the arbitrator or, as</w:t>
      </w:r>
    </w:p>
    <w:p>
      <w:pPr>
        <w:pStyle w:val="Normal"/>
        <w:framePr w:w="14274" w:hAnchor="page" w:vAnchor="page" w:x="276" w:y="240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such restriction may be stricken from this Agreement without nullifying this Agreement or any other portion of this Agreement that would otherwise be</w:t>
      </w:r>
    </w:p>
    <w:p>
      <w:pPr>
        <w:pStyle w:val="Normal"/>
        <w:framePr w:w="14156" w:hAnchor="page" w:vAnchor="page" w:x="276" w:y="216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necessary to make it valid and effective. To the extent that any of these covenants may not be so modified and would otherwise be unenforceable, then</w:t>
      </w:r>
    </w:p>
    <w:p>
      <w:pPr>
        <w:pStyle w:val="Normal"/>
        <w:framePr w:w="13533" w:hAnchor="page" w:vAnchor="page" w:x="276" w:y="193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 or parts of the wording were deleted, or reformed, then the relevant covenants shall apply with such deletion(s) or amendment(s) as may be</w:t>
      </w:r>
    </w:p>
    <w:p>
      <w:pPr>
        <w:pStyle w:val="Normal"/>
        <w:framePr w:w="14234" w:hAnchor="page" w:vAnchor="page" w:x="276" w:y="170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go beyond what is reasonable in all the circumstances for the protection of the legitimate interests of the Company but would be adjudged reasonable if</w:t>
      </w:r>
    </w:p>
    <w:p>
      <w:pPr>
        <w:pStyle w:val="Normal"/>
        <w:framePr w:w="14301" w:hAnchor="page" w:vAnchor="page" w:x="276" w:y="147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are considered by the parties to be reasonable in all circumstances. It is agreed that if any such covenant by itself, or taken together, shall be adjudged to</w:t>
      </w:r>
    </w:p>
    <w:p>
      <w:pPr>
        <w:pStyle w:val="Normal"/>
        <w:framePr w:w="13707" w:hAnchor="page" w:vAnchor="page" w:x="748" w:y="124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15. Reformation and Severability.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Each of the covenants set forth in paragraphs 7, 8, 9 and 10 of this Agreement are separate and severable and</w:t>
      </w:r>
    </w:p>
    <w:p>
      <w:pPr>
        <w:pStyle w:val="Normal"/>
        <w:framePr w:w="9523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Company regarding confidentiality, trade secrets, inventions, or non-competition or non-solicitation.</w:t>
      </w:r>
    </w:p>
    <w:p>
      <w:pPr>
        <w:pStyle w:val="Normal"/>
        <w:framePr w:w="14253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superseded by the Agreement, except the Agreement shall not in any way affect, modify, or nullify any prior agreement Employee entered into with the</w:t>
      </w:r>
    </w:p>
    <w:p>
      <w:pPr>
        <w:pStyle w:val="Normal"/>
        <w:framePr w:w="13476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oral representations not fully addressed in the Agreement. Any prior agreements between or directly involving Employee and the Company are</w:t>
      </w:r>
    </w:p>
    <w:p>
      <w:pPr>
        <w:pStyle w:val="Normal"/>
        <w:framePr w:w="13518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14. Entire Agreement.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The Agreement sets forth the entire agreement between the parties. Employee is not relying on any other agreements or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7pt;margin-top:1pt;z-index:-16776924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2.8pt;margin-top:1pt;z-index:-1677692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2.8pt;margin-top:2.45pt;z-index:-16776916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7.95pt;margin-top:1pt;z-index:-1677691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2.8pt;margin-top:1pt;z-index:-16776908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50.85pt;margin-top:18.35pt;z-index:-16776904;width:75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50.85pt;margin-top:70.45pt;z-index:-16776900;width:124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50.85pt;margin-top:168.8pt;z-index:-16776896;width:40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50.85pt;margin-top:186.15pt;z-index:-16776892;width:116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</w:p>
    <w:p>
      <w:pPr>
        <w:pStyle w:val="Normal"/>
        <w:framePr w:w="344" w:hAnchor="page" w:vAnchor="page" w:x="6130" w:y="707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</w:t>
      </w:r>
    </w:p>
    <w:p>
      <w:pPr>
        <w:pStyle w:val="Normal"/>
        <w:framePr w:w="4403" w:hAnchor="page" w:vAnchor="page" w:x="276" w:y="668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Vice President – People &amp; Culture</w:t>
      </w:r>
    </w:p>
    <w:p>
      <w:pPr>
        <w:pStyle w:val="Normal"/>
        <w:framePr w:w="1147" w:hAnchor="page" w:vAnchor="page" w:x="276" w:y="645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Nisha Rai</w:t>
      </w:r>
    </w:p>
    <w:p>
      <w:pPr>
        <w:pStyle w:val="Normal"/>
        <w:framePr w:w="3701" w:hAnchor="page" w:vAnchor="page" w:x="276" w:y="621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behalf of FMC Technologies, Inc.</w:t>
      </w:r>
    </w:p>
    <w:p>
      <w:pPr>
        <w:pStyle w:val="Normal"/>
        <w:framePr w:w="2014" w:hAnchor="page" w:vAnchor="page" w:x="276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  /s/ Nisha Rai</w:t>
      </w:r>
    </w:p>
    <w:p>
      <w:pPr>
        <w:pStyle w:val="Normal"/>
        <w:framePr w:w="344" w:hAnchor="page" w:vAnchor="page" w:x="4558" w:y="57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97" w:hAnchor="page" w:vAnchor="page" w:x="8319" w:y="57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Date: March 28, 2022</w:t>
      </w:r>
    </w:p>
    <w:p>
      <w:pPr>
        <w:pStyle w:val="Normal"/>
        <w:framePr w:w="2456" w:hAnchor="page" w:vAnchor="page" w:x="276" w:y="523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FMC Technologies, Inc.</w:t>
      </w:r>
    </w:p>
    <w:p>
      <w:pPr>
        <w:pStyle w:val="Normal"/>
        <w:framePr w:w="4403" w:hAnchor="page" w:vAnchor="page" w:x="276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Executive Vice President – People &amp; Culture</w:t>
      </w:r>
    </w:p>
    <w:p>
      <w:pPr>
        <w:pStyle w:val="Normal"/>
        <w:framePr w:w="344" w:hAnchor="page" w:vAnchor="page" w:x="4558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19" w:y="4656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1147" w:hAnchor="page" w:vAnchor="page" w:x="276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Nisha Rai</w:t>
      </w:r>
    </w:p>
    <w:p>
      <w:pPr>
        <w:pStyle w:val="Normal"/>
        <w:framePr w:w="344" w:hAnchor="page" w:vAnchor="page" w:x="4558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19" w:y="442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026" w:hAnchor="page" w:vAnchor="page" w:x="276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On behalf of TechnipFMC plc</w:t>
      </w:r>
    </w:p>
    <w:p>
      <w:pPr>
        <w:pStyle w:val="Normal"/>
        <w:framePr w:w="344" w:hAnchor="page" w:vAnchor="page" w:x="4558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344" w:hAnchor="page" w:vAnchor="page" w:x="8319" w:y="419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014" w:hAnchor="page" w:vAnchor="page" w:x="276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By:     /s/ Nisha Rai</w:t>
      </w:r>
    </w:p>
    <w:p>
      <w:pPr>
        <w:pStyle w:val="Normal"/>
        <w:framePr w:w="344" w:hAnchor="page" w:vAnchor="page" w:x="4558" w:y="373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</w:t>
      </w:r>
    </w:p>
    <w:p>
      <w:pPr>
        <w:pStyle w:val="Normal"/>
        <w:framePr w:w="2397" w:hAnchor="page" w:vAnchor="page" w:x="8319" w:y="370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Date: March 28, 2022</w:t>
      </w:r>
    </w:p>
    <w:p>
      <w:pPr>
        <w:pStyle w:val="Normal"/>
        <w:framePr w:w="1781" w:hAnchor="page" w:vAnchor="page" w:x="276" w:y="321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</w:pPr>
      <w:r>
        <w:rPr>
          <w:rFonts w:ascii="TimesNewRomanPS-ItalicMT" w:hAnsi="TimesNewRomanPS-ItalicMT" w:fareast="TimesNewRomanPS-ItalicMT" w:cs="TimesNewRomanPS-Italic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12230" w:hAnchor="page" w:vAnchor="page" w:x="276" w:y="274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claim to arbitration for any violation, attempted violation or proposed violation of paragraphs 7, 8, 9, or 10 of this Agreement.</w:t>
      </w:r>
    </w:p>
    <w:p>
      <w:pPr>
        <w:pStyle w:val="Normal"/>
        <w:framePr w:w="14293" w:hAnchor="page" w:vAnchor="page" w:x="276" w:y="251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provisions of this paragraph, the Company shall be entitled to seek injunctive and other appropriate equitable relief immediately and without submitting</w:t>
      </w:r>
    </w:p>
    <w:p>
      <w:pPr>
        <w:pStyle w:val="Normal"/>
        <w:framePr w:w="14228" w:hAnchor="page" w:vAnchor="page" w:x="276" w:y="228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arbitrator expressly determines that an award of such costs is appropriate to a party whose position prevails in such arbitration. Notwithstanding the</w:t>
      </w:r>
    </w:p>
    <w:p>
      <w:pPr>
        <w:pStyle w:val="Normal"/>
        <w:framePr w:w="14128" w:hAnchor="page" w:vAnchor="page" w:x="276" w:y="2053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fees, except that, in the discretion of the arbitrator, any award may include the cost of a party’s counsel and/or its share of the expense of arbitration, if</w:t>
      </w:r>
    </w:p>
    <w:p>
      <w:pPr>
        <w:pStyle w:val="Normal"/>
        <w:framePr w:w="14073" w:hAnchor="page" w:vAnchor="page" w:x="276" w:y="182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parties to the arbitration, provided that each party shall pay for and bear the cost of Employee’s or the Company’s own experts, evidence, and counsel</w:t>
      </w:r>
    </w:p>
    <w:p>
      <w:pPr>
        <w:pStyle w:val="Normal"/>
        <w:framePr w:w="14125" w:hAnchor="page" w:vAnchor="page" w:x="276" w:y="159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forum (state or federal) having jurisdiction over the issues addressed in the arbitration. The expense of the arbitration shall be borne equally by the</w:t>
      </w:r>
    </w:p>
    <w:p>
      <w:pPr>
        <w:pStyle w:val="Normal"/>
        <w:framePr w:w="14382" w:hAnchor="page" w:vAnchor="page" w:x="276" w:y="1358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upon by the parties. Any award rendered shall be final, conclusive and binding upon the parties, and any judgment may be entered in the highest court of</w:t>
      </w:r>
    </w:p>
    <w:p>
      <w:pPr>
        <w:pStyle w:val="Normal"/>
        <w:framePr w:w="14188" w:hAnchor="page" w:vAnchor="page" w:x="276" w:y="112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party initiates an arbitration proceeding under this paragraph, the parties shall participate in a full-day mediation with a qualified mediator to be agreed</w:t>
      </w:r>
    </w:p>
    <w:p>
      <w:pPr>
        <w:pStyle w:val="Normal"/>
        <w:framePr w:w="14205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disputes (or at any other place or under any other form of arbitration mutually acceptable to the parties involved); provided, however, that before either</w:t>
      </w:r>
    </w:p>
    <w:p>
      <w:pPr>
        <w:pStyle w:val="Normal"/>
        <w:framePr w:w="13685" w:hAnchor="page" w:vAnchor="page" w:x="276" w:y="664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Association governing employment disputes, before an arbitrator licensed to practice law in the State of Texas and familiar with employment law</w:t>
      </w:r>
    </w:p>
    <w:p>
      <w:pPr>
        <w:pStyle w:val="Normal"/>
        <w:framePr w:w="13719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shall be submitted to and settled by arbitration in the State of Texas and conducted pursuant to the rules then in effect of the American Arbitration</w:t>
      </w:r>
    </w:p>
    <w:p>
      <w:pPr>
        <w:pStyle w:val="Normal"/>
        <w:framePr w:w="13507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18. Arbitration and Mediation.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Any dispute, controversy, or claim arising between the Employee and the Company relating to the Agreement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7pt;margin-top:1pt;z-index:-16776888;width:598pt;height:1005.9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2.8pt;margin-top:1pt;z-index:-16776884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12.8pt;margin-top:2.45pt;z-index:-16776880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597.95pt;margin-top:1pt;z-index:-16776876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2.8pt;margin-top:1pt;z-index:-16776872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7.4pt;margin-top:195.55pt;z-index:-16776868;width:1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37.4pt;margin-top:296.85pt;z-index:-16776864;width:191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50.85pt;margin-top:18.35pt;z-index:-16776860;width:112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</w:p>
    <w:p>
      <w:pPr>
        <w:pStyle w:val="Normal"/>
        <w:framePr w:w="344" w:hAnchor="page" w:vAnchor="page" w:x="6130" w:y="2270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</w:t>
      </w:r>
    </w:p>
    <w:p>
      <w:pPr>
        <w:pStyle w:val="Normal"/>
        <w:framePr w:w="1725" w:hAnchor="page" w:vAnchor="page" w:x="276" w:y="1879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Barry Glickman</w:t>
      </w:r>
    </w:p>
    <w:p>
      <w:pPr>
        <w:pStyle w:val="Normal"/>
        <w:framePr w:w="2001" w:hAnchor="page" w:vAnchor="page" w:x="276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/s/ Barry Glickman</w:t>
      </w:r>
    </w:p>
    <w:p>
      <w:pPr>
        <w:pStyle w:val="Normal"/>
        <w:framePr w:w="2397" w:hAnchor="page" w:vAnchor="page" w:x="8319" w:y="1387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Date: March 27, 2022</w:t>
      </w:r>
    </w:p>
    <w:p>
      <w:pPr>
        <w:pStyle w:val="Normal"/>
        <w:framePr w:w="1230" w:hAnchor="page" w:vAnchor="page" w:x="276" w:y="895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Employee:</w:t>
      </w:r>
    </w:p>
    <w:p>
      <w:pPr>
        <w:pStyle w:val="Normal"/>
        <w:framePr w:w="1385" w:hAnchor="page" w:vAnchor="page" w:x="276" w:y="432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binding.</w:t>
      </w:r>
    </w:p>
    <w:p>
      <w:pPr>
        <w:pStyle w:val="Normal"/>
        <w:framePr w:w="13483" w:hAnchor="page" w:vAnchor="page" w:x="748" w:y="201"/>
        <w:widowControl w:val="off"/>
        <w:autoSpaceDE w:val="off"/>
        <w:autoSpaceDN w:val="off"/>
        <w:spacing w:before="0" w:after="0" w:line="21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Employee has read and understood the Agreement, signs the Agreement waiving valuable rights, and acknowledges that the Agreement is final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7pt;margin-top:1pt;z-index:-16776856;width:598pt;height:1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12.8pt;margin-top:1pt;z-index:-16776852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12.8pt;margin-top:2.45pt;z-index:-16776848;width:58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597.95pt;margin-top:1pt;z-index:-16776844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12.8pt;margin-top:1pt;z-index:-16776840;width:2.7pt;height:4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12.8pt;margin-top:79.85pt;z-index:-16776836;width:197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</w:p>
    <w:sectPr>
      <w:pgSz w:w="12240" w:h="20160"/>
      <w:pgMar w:top="400" w:right="400" w:bottom="400" w:left="400" w:header="720" w:footer="720"/>
      <w:pgNumType w:start="10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  <w:font w:name="TimesNewRomanPS-ItalicMT">
    <w:panose-1>"02020503050405090304"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b520054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styles.xml" Type="http://schemas.openxmlformats.org/officeDocument/2006/relationships/styles"/><Relationship Id="rId97" Target="fontTable.xml" Type="http://schemas.openxmlformats.org/officeDocument/2006/relationships/fontTable"/><Relationship Id="rId98" Target="settings.xml" Type="http://schemas.openxmlformats.org/officeDocument/2006/relationships/settings"/><Relationship Id="rId99" Target="webSettings.xml" Type="http://schemas.openxmlformats.org/officeDocument/2006/relationships/webSettings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10</Pages>
  <Words>3792</Words>
  <Characters>20729</Characters>
  <Application>e-iceblue</Application>
  <DocSecurity>0</DocSecurity>
  <Lines>277</Lines>
  <Paragraphs>277</Paragraphs>
  <ScaleCrop>false</ScaleCrop>
  <Company>e-iceblue</Company>
  <LinksUpToDate>false</LinksUpToDate>
  <CharactersWithSpaces>24296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2022-04-01T20:42:18Z</dcterms:created>
  <dc:creator>root</dc:creator>
  <cp:lastModifiedBy>root</cp:lastModifiedBy>
  <dcterms:modified xsi:type="dcterms:W3CDTF">2022-04-01T20:42:18Z</dcterms:modified>
  <cp:revision>1</cp:revision>
</cp:coreProperties>
</file>