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370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Parmentier Thierry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01/17/2017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FTI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ONE ST. PAUL'S CHURCHYARD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LONDON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EC4M 8AP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31"/>
        <w:spacing w:after="0"/>
        <w:tabs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1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EVP, Human Resources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11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No Securities are Beneficially Owned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7"/>
              </w:rPr>
              <w:t>Lisa P. Wang, Attorney-In-Fact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01/17/2017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TechnipFMC Limited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(For Executing Forms 3, 4 and 5)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each of Jay A. Nutt, Charles-Henri Prou and Lisa P. Wang, signing singly, and with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or director, or both, of TechnipFMC Limited (to be renamed TechnipFM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 or desirable to complete and execute any such Form 3, 4 or 5, compl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474" w:lineRule="auto"/>
        <w:tabs>
          <w:tab w:leader="none" w:pos="43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other action of any type whatsoever in connection with the foregoing which, in the opinion of such attorney-in-fact, may be of benefit to, in the bes The undersigned hereby grants to each such attorney-in-fact full power and authority to do and perform any and every act and thing whatsoever requisite, necessary a This Limited Power of Attorney shall remain in full force and effect until the undersigned is no longer required to file Forms 3, 4 or 5 with respect to the undersi IN WITNESS WHEREOF, the undersigned has caused this Limited Power of Attorney to be executed as of this 13th day of January 2017.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Thierry Parmentier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694442" TargetMode="External"/><Relationship Id="rId12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2019-12-04T02:37:29Z</dcterms:created>
  <dcterms:modified xsi:type="dcterms:W3CDTF">2019-12-04T02:37:29Z</dcterms:modified>
</cp:coreProperties>
</file>