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332" w:hAnchor="page" w:vAnchor="page" w:x="280" w:y="197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Schedule 13G. </w:t>
      </w:r>
    </w:p>
    <w:p>
      <w:pPr>
        <w:pStyle w:val="Normal"/>
        <w:framePr w:w="10218" w:hAnchor="page" w:vAnchor="page" w:x="280" w:y="195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4: Reference is made to Items 5-11 on the preceding pages of this </w:t>
      </w:r>
    </w:p>
    <w:p>
      <w:pPr>
        <w:pStyle w:val="Normal"/>
        <w:framePr w:w="3753" w:hAnchor="page" w:vAnchor="page" w:x="280" w:y="190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Advisers Act of 1940 </w:t>
      </w:r>
    </w:p>
    <w:p>
      <w:pPr>
        <w:pStyle w:val="Normal"/>
        <w:framePr w:w="10078" w:hAnchor="page" w:vAnchor="page" w:x="280" w:y="188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X   Investment Adviser registered under Section 203 of the Investment </w:t>
      </w:r>
    </w:p>
    <w:p>
      <w:pPr>
        <w:pStyle w:val="Normal"/>
        <w:framePr w:w="7408" w:hAnchor="page" w:vAnchor="page" w:x="280" w:y="186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3: The person filing this Schedule 13G is an: </w:t>
      </w:r>
    </w:p>
    <w:p>
      <w:pPr>
        <w:pStyle w:val="Normal"/>
        <w:framePr w:w="5018" w:hAnchor="page" w:vAnchor="page" w:x="280" w:y="1817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2(e) Cusip Number: G87110105 </w:t>
      </w:r>
    </w:p>
    <w:p>
      <w:pPr>
        <w:pStyle w:val="Normal"/>
        <w:framePr w:w="7688" w:hAnchor="page" w:vAnchor="page" w:x="280" w:y="177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2(d) Title of Class of Securities: COMMON STOCK </w:t>
      </w:r>
    </w:p>
    <w:p>
      <w:pPr>
        <w:pStyle w:val="Normal"/>
        <w:framePr w:w="2067" w:hAnchor="page" w:vAnchor="page" w:x="280" w:y="172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Maryland </w:t>
      </w:r>
    </w:p>
    <w:p>
      <w:pPr>
        <w:pStyle w:val="Normal"/>
        <w:framePr w:w="6986" w:hAnchor="page" w:vAnchor="page" w:x="280" w:y="170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2(c) Citizenship or Place of Organization: </w:t>
      </w:r>
    </w:p>
    <w:p>
      <w:pPr>
        <w:pStyle w:val="Normal"/>
        <w:framePr w:w="6002" w:hAnchor="page" w:vAnchor="page" w:x="280" w:y="166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100 E. Pratt Street, Baltimore, MD 21202 </w:t>
      </w:r>
    </w:p>
    <w:p>
      <w:pPr>
        <w:pStyle w:val="Normal"/>
        <w:framePr w:w="6986" w:hAnchor="page" w:vAnchor="page" w:x="280" w:y="163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2(b) Address of Principal Business Office: </w:t>
      </w:r>
    </w:p>
    <w:p>
      <w:pPr>
        <w:pStyle w:val="Normal"/>
        <w:framePr w:w="7829" w:hAnchor="page" w:vAnchor="page" w:x="280" w:y="159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T. ROWE PRICE ASSOCIATES, INC. (Price Associates) </w:t>
      </w:r>
    </w:p>
    <w:p>
      <w:pPr>
        <w:pStyle w:val="Normal"/>
        <w:framePr w:w="5299" w:hAnchor="page" w:vAnchor="page" w:x="280" w:y="157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2(a) Name of Person(s) Filing: </w:t>
      </w:r>
    </w:p>
    <w:p>
      <w:pPr>
        <w:pStyle w:val="Normal"/>
        <w:framePr w:w="10921" w:hAnchor="page" w:vAnchor="page" w:x="280" w:y="152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HADRIAN HOUSE, WINCOMBLEE ROAD, NEWCASTLE UPON TYNE, UNITED KINGDOM NE6 3PL </w:t>
      </w:r>
    </w:p>
    <w:p>
      <w:pPr>
        <w:pStyle w:val="Normal"/>
        <w:framePr w:w="8532" w:hAnchor="page" w:vAnchor="page" w:x="280" w:y="150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1(b) Address of Issuer's Principal Executive Offices: </w:t>
      </w:r>
    </w:p>
    <w:p>
      <w:pPr>
        <w:pStyle w:val="Normal"/>
        <w:framePr w:w="2348" w:hAnchor="page" w:vAnchor="page" w:x="280" w:y="145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3894" w:hAnchor="page" w:vAnchor="page" w:x="280" w:y="143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1(a) Name of Issuer: </w:t>
      </w:r>
    </w:p>
    <w:p>
      <w:pPr>
        <w:pStyle w:val="Normal"/>
        <w:framePr w:w="9656" w:hAnchor="page" w:vAnchor="page" w:x="280" w:y="1389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*Any shares reported in Items 5 and 6 are also reported in Item 7. </w:t>
      </w:r>
    </w:p>
    <w:p>
      <w:pPr>
        <w:pStyle w:val="Normal"/>
        <w:framePr w:w="521" w:hAnchor="page" w:vAnchor="page" w:x="1217" w:y="134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IA</w:t>
      </w:r>
    </w:p>
    <w:p>
      <w:pPr>
        <w:pStyle w:val="Normal"/>
        <w:framePr w:w="4315" w:hAnchor="page" w:vAnchor="page" w:x="280" w:y="132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12. Type of Reporting Person </w:t>
      </w:r>
    </w:p>
    <w:p>
      <w:pPr>
        <w:pStyle w:val="Normal"/>
        <w:framePr w:w="943" w:hAnchor="page" w:vAnchor="page" w:x="1217" w:y="127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8.6% </w:t>
      </w:r>
    </w:p>
    <w:p>
      <w:pPr>
        <w:pStyle w:val="Normal"/>
        <w:framePr w:w="7548" w:hAnchor="page" w:vAnchor="page" w:x="280" w:y="125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11. Percent of Class Represented by Amount in Row 9 </w:t>
      </w:r>
    </w:p>
    <w:p>
      <w:pPr>
        <w:pStyle w:val="Normal"/>
        <w:framePr w:w="2348" w:hAnchor="page" w:vAnchor="page" w:x="1217" w:y="120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10499" w:hAnchor="page" w:vAnchor="page" w:x="280" w:y="118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10. Check Box if the Aggregate Amount in Row (9) Excludes Certain Shares </w:t>
      </w:r>
    </w:p>
    <w:p>
      <w:pPr>
        <w:pStyle w:val="Normal"/>
        <w:framePr w:w="2207" w:hAnchor="page" w:vAnchor="page" w:x="280" w:y="114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37,348,994 </w:t>
      </w:r>
    </w:p>
    <w:p>
      <w:pPr>
        <w:pStyle w:val="Normal"/>
        <w:framePr w:w="9234" w:hAnchor="page" w:vAnchor="page" w:x="280" w:y="111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9. Aggregate Amount Beneficially Owned by Each Reporting Person </w:t>
      </w:r>
    </w:p>
    <w:p>
      <w:pPr>
        <w:pStyle w:val="Normal"/>
        <w:framePr w:w="4737" w:hAnchor="page" w:vAnchor="page" w:x="280" w:y="107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8. Shared Dispositive Power   0 </w:t>
      </w:r>
    </w:p>
    <w:p>
      <w:pPr>
        <w:pStyle w:val="Normal"/>
        <w:framePr w:w="6002" w:hAnchor="page" w:vAnchor="page" w:x="280" w:y="102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7. Sole Dispositive Power*    37,335,426 </w:t>
      </w:r>
    </w:p>
    <w:p>
      <w:pPr>
        <w:pStyle w:val="Normal"/>
        <w:framePr w:w="4737" w:hAnchor="page" w:vAnchor="page" w:x="280" w:y="98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6. Shared Voting Power*       0 </w:t>
      </w:r>
    </w:p>
    <w:p>
      <w:pPr>
        <w:pStyle w:val="Normal"/>
        <w:framePr w:w="6002" w:hAnchor="page" w:vAnchor="page" w:x="280" w:y="93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5. Sole Voting Power*         12,415,564 </w:t>
      </w:r>
    </w:p>
    <w:p>
      <w:pPr>
        <w:pStyle w:val="Normal"/>
        <w:framePr w:w="9516" w:hAnchor="page" w:vAnchor="page" w:x="280" w:y="89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Number of Shares Beneficially Owned by Each Reporting Person With </w:t>
      </w:r>
    </w:p>
    <w:p>
      <w:pPr>
        <w:pStyle w:val="Normal"/>
        <w:framePr w:w="1926" w:hAnchor="page" w:vAnchor="page" w:x="280" w:y="84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Maryland </w:t>
      </w:r>
    </w:p>
    <w:p>
      <w:pPr>
        <w:pStyle w:val="Normal"/>
        <w:framePr w:w="5861" w:hAnchor="page" w:vAnchor="page" w:x="280" w:y="82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4. Citizenship or Place of Organization </w:t>
      </w:r>
    </w:p>
    <w:p>
      <w:pPr>
        <w:pStyle w:val="Normal"/>
        <w:framePr w:w="2489" w:hAnchor="page" w:vAnchor="page" w:x="280" w:y="78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3. SEC Use Only </w:t>
      </w:r>
    </w:p>
    <w:p>
      <w:pPr>
        <w:pStyle w:val="Normal"/>
        <w:framePr w:w="2770" w:hAnchor="page" w:vAnchor="page" w:x="280" w:y="73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NOT APPLICABLE </w:t>
      </w:r>
    </w:p>
    <w:p>
      <w:pPr>
        <w:pStyle w:val="Normal"/>
        <w:framePr w:w="7548" w:hAnchor="page" w:vAnchor="page" w:x="280" w:y="71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2. Check the Appropriate Box if a Member of a Group </w:t>
      </w:r>
    </w:p>
    <w:p>
      <w:pPr>
        <w:pStyle w:val="Normal"/>
        <w:framePr w:w="2207" w:hAnchor="page" w:vAnchor="page" w:x="280" w:y="66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52-0556948 </w:t>
      </w:r>
    </w:p>
    <w:p>
      <w:pPr>
        <w:pStyle w:val="Normal"/>
        <w:framePr w:w="5018" w:hAnchor="page" w:vAnchor="page" w:x="280" w:y="64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T. ROWE PRICE ASSOCIATES, INC. </w:t>
      </w:r>
    </w:p>
    <w:p>
      <w:pPr>
        <w:pStyle w:val="Normal"/>
        <w:framePr w:w="4175" w:hAnchor="page" w:vAnchor="page" w:x="280" w:y="62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1. Name of Reporting Person </w:t>
      </w:r>
    </w:p>
    <w:p>
      <w:pPr>
        <w:pStyle w:val="Normal"/>
        <w:framePr w:w="3191" w:hAnchor="page" w:vAnchor="page" w:x="280" w:y="57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- 1(d) </w:t>
      </w:r>
    </w:p>
    <w:p>
      <w:pPr>
        <w:pStyle w:val="Normal"/>
        <w:framePr w:w="3191" w:hAnchor="page" w:vAnchor="page" w:x="280" w:y="556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Rule 13d - 1(c) </w:t>
      </w:r>
    </w:p>
    <w:p>
      <w:pPr>
        <w:pStyle w:val="Normal"/>
        <w:framePr w:w="3191" w:hAnchor="page" w:vAnchor="page" w:x="280" w:y="534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[x]  Rule 13d - 1(b) </w:t>
      </w:r>
    </w:p>
    <w:p>
      <w:pPr>
        <w:pStyle w:val="Normal"/>
        <w:framePr w:w="2910" w:hAnchor="page" w:vAnchor="page" w:x="280" w:y="51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is filed: </w:t>
      </w:r>
    </w:p>
    <w:p>
      <w:pPr>
        <w:pStyle w:val="Normal"/>
        <w:framePr w:w="10218" w:hAnchor="page" w:vAnchor="page" w:x="280" w:y="489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Check the appropriate box to designate the Rule pursuant to which this </w:t>
      </w:r>
    </w:p>
    <w:p>
      <w:pPr>
        <w:pStyle w:val="Normal"/>
        <w:framePr w:w="7408" w:hAnchor="page" w:vAnchor="page" w:x="280" w:y="44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(Date of Event which Requires Filing of Statement) </w:t>
      </w:r>
    </w:p>
    <w:p>
      <w:pPr>
        <w:pStyle w:val="Normal"/>
        <w:framePr w:w="2770" w:hAnchor="page" w:vAnchor="page" w:x="280" w:y="421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December 31, 2023 </w:t>
      </w:r>
    </w:p>
    <w:p>
      <w:pPr>
        <w:pStyle w:val="Normal"/>
        <w:framePr w:w="2348" w:hAnchor="page" w:vAnchor="page" w:x="280" w:y="376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(CUSIP NUMBER) </w:t>
      </w:r>
    </w:p>
    <w:p>
      <w:pPr>
        <w:pStyle w:val="Normal"/>
        <w:framePr w:w="1645" w:hAnchor="page" w:vAnchor="page" w:x="280" w:y="354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G87110105 </w:t>
      </w:r>
    </w:p>
    <w:p>
      <w:pPr>
        <w:pStyle w:val="Normal"/>
        <w:framePr w:w="4597" w:hAnchor="page" w:vAnchor="page" w:x="280" w:y="309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(Title of Class of Securities) </w:t>
      </w:r>
    </w:p>
    <w:p>
      <w:pPr>
        <w:pStyle w:val="Normal"/>
        <w:framePr w:w="2067" w:hAnchor="page" w:vAnchor="page" w:x="280" w:y="286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COMMON STOCK </w:t>
      </w:r>
    </w:p>
    <w:p>
      <w:pPr>
        <w:pStyle w:val="Normal"/>
        <w:framePr w:w="2629" w:hAnchor="page" w:vAnchor="page" w:x="280" w:y="241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(Name of Issuer) </w:t>
      </w:r>
    </w:p>
    <w:p>
      <w:pPr>
        <w:pStyle w:val="Normal"/>
        <w:framePr w:w="2348" w:hAnchor="page" w:vAnchor="page" w:x="280" w:y="21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TECHNIPFMC PLC </w:t>
      </w:r>
    </w:p>
    <w:p>
      <w:pPr>
        <w:pStyle w:val="Normal"/>
        <w:framePr w:w="2770" w:hAnchor="page" w:vAnchor="page" w:x="280" w:y="173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(Amendment No. 3) </w:t>
      </w:r>
    </w:p>
    <w:p>
      <w:pPr>
        <w:pStyle w:val="Normal"/>
        <w:framePr w:w="6143" w:hAnchor="page" w:vAnchor="page" w:x="280" w:y="128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Under the Securities Exchange Act of 1934 </w:t>
      </w:r>
    </w:p>
    <w:p>
      <w:pPr>
        <w:pStyle w:val="Normal"/>
        <w:framePr w:w="2067" w:hAnchor="page" w:vAnchor="page" w:x="280" w:y="83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SCHEDULE 13G </w:t>
      </w:r>
    </w:p>
    <w:p>
      <w:pPr>
        <w:pStyle w:val="Normal"/>
        <w:framePr w:w="3472" w:hAnchor="page" w:vAnchor="page" w:x="280" w:y="61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Washington, D.C. 20549 </w:t>
      </w:r>
    </w:p>
    <w:p>
      <w:pPr>
        <w:pStyle w:val="Normal"/>
        <w:framePr w:w="5159" w:hAnchor="page" w:vAnchor="page" w:x="280" w:y="38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SECURITIES AND EXCHANGE COMMISSION </w:t>
      </w:r>
    </w:p>
    <w:p>
      <w:pPr>
        <w:pStyle w:val="Normal"/>
        <w:framePr w:w="2207" w:hAnchor="page" w:vAnchor="page" w:x="280" w:y="16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UNITED STATES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</w:p>
    <w:p>
      <w:pPr>
        <w:pStyle w:val="Normal"/>
        <w:framePr w:w="1645" w:hAnchor="page" w:vAnchor="page" w:x="280" w:y="1423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>12/31/2023</w:t>
      </w:r>
    </w:p>
    <w:p>
      <w:pPr>
        <w:pStyle w:val="Normal"/>
        <w:framePr w:w="6705" w:hAnchor="page" w:vAnchor="page" w:x="280" w:y="137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Name &amp; Title: Armando Capasso, Vice President </w:t>
      </w:r>
    </w:p>
    <w:p>
      <w:pPr>
        <w:pStyle w:val="Normal"/>
        <w:framePr w:w="4597" w:hAnchor="page" w:vAnchor="page" w:x="280" w:y="1355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Signature: /s/ Armando Capasso </w:t>
      </w:r>
    </w:p>
    <w:p>
      <w:pPr>
        <w:pStyle w:val="Normal"/>
        <w:framePr w:w="3613" w:hAnchor="page" w:vAnchor="page" w:x="280" w:y="1332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Date: February 14, 2024 </w:t>
      </w:r>
    </w:p>
    <w:p>
      <w:pPr>
        <w:pStyle w:val="Normal"/>
        <w:framePr w:w="4597" w:hAnchor="page" w:vAnchor="page" w:x="280" w:y="1310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T. ROWE PRICE ASSOCIATES, INC. </w:t>
      </w:r>
    </w:p>
    <w:p>
      <w:pPr>
        <w:pStyle w:val="Normal"/>
        <w:framePr w:w="4597" w:hAnchor="page" w:vAnchor="page" w:x="280" w:y="1265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complete and correct. </w:t>
      </w:r>
    </w:p>
    <w:p>
      <w:pPr>
        <w:pStyle w:val="Normal"/>
        <w:framePr w:w="11062" w:hAnchor="page" w:vAnchor="page" w:x="280" w:y="1242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 certify that the information set forth in this statement is true, </w:t>
      </w:r>
    </w:p>
    <w:p>
      <w:pPr>
        <w:pStyle w:val="Normal"/>
        <w:framePr w:w="11202" w:hAnchor="page" w:vAnchor="page" w:x="280" w:y="1220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After reasonable inquiry and to the best of my knowledge and belief, </w:t>
      </w:r>
    </w:p>
    <w:p>
      <w:pPr>
        <w:pStyle w:val="Normal"/>
        <w:framePr w:w="3051" w:hAnchor="page" w:vAnchor="page" w:x="280" w:y="117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Signature. </w:t>
      </w:r>
    </w:p>
    <w:p>
      <w:pPr>
        <w:pStyle w:val="Normal"/>
        <w:framePr w:w="2629" w:hAnchor="page" w:vAnchor="page" w:x="280" w:y="1130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denied. </w:t>
      </w:r>
    </w:p>
    <w:p>
      <w:pPr>
        <w:pStyle w:val="Normal"/>
        <w:framePr w:w="10499" w:hAnchor="page" w:vAnchor="page" w:x="280" w:y="1107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securities referred to, which beneficial ownership is expressly </w:t>
      </w:r>
    </w:p>
    <w:p>
      <w:pPr>
        <w:pStyle w:val="Normal"/>
        <w:framePr w:w="8953" w:hAnchor="page" w:vAnchor="page" w:x="280" w:y="1085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Price Associates is the beneficial owner of the </w:t>
      </w:r>
    </w:p>
    <w:p>
      <w:pPr>
        <w:pStyle w:val="Normal"/>
        <w:framePr w:w="11483" w:hAnchor="page" w:vAnchor="page" w:x="280" w:y="1062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that the filing of Schedule 13G shall not be construed as an admission </w:t>
      </w:r>
    </w:p>
    <w:p>
      <w:pPr>
        <w:pStyle w:val="Normal"/>
        <w:framePr w:w="9797" w:hAnchor="page" w:vAnchor="page" w:x="280" w:y="104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T. Rowe Price Associates, Inc. hereby declares and affirms </w:t>
      </w:r>
    </w:p>
    <w:p>
      <w:pPr>
        <w:pStyle w:val="Normal"/>
        <w:framePr w:w="8532" w:hAnchor="page" w:vAnchor="page" w:x="280" w:y="1017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 any transaction having that purpose or effect. </w:t>
      </w:r>
    </w:p>
    <w:p>
      <w:pPr>
        <w:pStyle w:val="Normal"/>
        <w:framePr w:w="11202" w:hAnchor="page" w:vAnchor="page" w:x="280" w:y="995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not acquired and are not held in connection with or as a participant </w:t>
      </w:r>
    </w:p>
    <w:p>
      <w:pPr>
        <w:pStyle w:val="Normal"/>
        <w:framePr w:w="10640" w:hAnchor="page" w:vAnchor="page" w:x="280" w:y="972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influencing the control of the issuer of the securities and were </w:t>
      </w:r>
    </w:p>
    <w:p>
      <w:pPr>
        <w:pStyle w:val="Normal"/>
        <w:framePr w:w="9656" w:hAnchor="page" w:vAnchor="page" w:x="280" w:y="950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held for the purpose of or with the effect of changing or </w:t>
      </w:r>
    </w:p>
    <w:p>
      <w:pPr>
        <w:pStyle w:val="Normal"/>
        <w:framePr w:w="10218" w:hAnchor="page" w:vAnchor="page" w:x="280" w:y="927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ordinary course of business and were not acquired and are not </w:t>
      </w:r>
    </w:p>
    <w:p>
      <w:pPr>
        <w:pStyle w:val="Normal"/>
        <w:framePr w:w="10218" w:hAnchor="page" w:vAnchor="page" w:x="280" w:y="905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belief, the securities referred to above were acquired in the </w:t>
      </w:r>
    </w:p>
    <w:p>
      <w:pPr>
        <w:pStyle w:val="Normal"/>
        <w:framePr w:w="10640" w:hAnchor="page" w:vAnchor="page" w:x="280" w:y="882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 By signing below I certify that, to the best of my knowledge and </w:t>
      </w:r>
    </w:p>
    <w:p>
      <w:pPr>
        <w:pStyle w:val="Normal"/>
        <w:framePr w:w="3472" w:hAnchor="page" w:vAnchor="page" w:x="280" w:y="860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10: Certification </w:t>
      </w:r>
    </w:p>
    <w:p>
      <w:pPr>
        <w:pStyle w:val="Normal"/>
        <w:framePr w:w="3472" w:hAnchor="page" w:vAnchor="page" w:x="280" w:y="8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5721" w:hAnchor="page" w:vAnchor="page" w:x="280" w:y="792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9: Notice of Dissolution of Group </w:t>
      </w:r>
    </w:p>
    <w:p>
      <w:pPr>
        <w:pStyle w:val="Normal"/>
        <w:framePr w:w="3472" w:hAnchor="page" w:vAnchor="page" w:x="280" w:y="74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72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8: Identification and Classification of Members of the Group </w:t>
      </w:r>
    </w:p>
    <w:p>
      <w:pPr>
        <w:pStyle w:val="Normal"/>
        <w:framePr w:w="3472" w:hAnchor="page" w:vAnchor="page" w:x="280" w:y="679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Not Applicable </w:t>
      </w:r>
    </w:p>
    <w:p>
      <w:pPr>
        <w:pStyle w:val="Normal"/>
        <w:framePr w:w="9516" w:hAnchor="page" w:vAnchor="page" w:x="280" w:y="657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Security Being Reported on By the Parent Holding Company. </w:t>
      </w:r>
    </w:p>
    <w:p>
      <w:pPr>
        <w:pStyle w:val="Normal"/>
        <w:framePr w:w="11342" w:hAnchor="page" w:vAnchor="page" w:x="280" w:y="634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7: Identification and Classification of the Subsidiary Which Acquired the </w:t>
      </w:r>
    </w:p>
    <w:p>
      <w:pPr>
        <w:pStyle w:val="Normal"/>
        <w:framePr w:w="8953" w:hAnchor="page" w:vAnchor="page" w:x="280" w:y="56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subject to the investment advice of Price Associates. </w:t>
      </w:r>
    </w:p>
    <w:p>
      <w:pPr>
        <w:pStyle w:val="Normal"/>
        <w:framePr w:w="10780" w:hAnchor="page" w:vAnchor="page" w:x="280" w:y="54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than 5% of the class of such securities is owned by any one client </w:t>
      </w:r>
    </w:p>
    <w:p>
      <w:pPr>
        <w:pStyle w:val="Normal"/>
        <w:framePr w:w="8813" w:hAnchor="page" w:vAnchor="page" w:x="280" w:y="522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investment adviser ("T. Rowe Price Funds"), not more </w:t>
      </w:r>
    </w:p>
    <w:p>
      <w:pPr>
        <w:pStyle w:val="Normal"/>
        <w:framePr w:w="7126" w:hAnchor="page" w:vAnchor="page" w:x="280" w:y="49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which it also serves as </w:t>
      </w:r>
    </w:p>
    <w:p>
      <w:pPr>
        <w:pStyle w:val="Normal"/>
        <w:framePr w:w="7688" w:hAnchor="page" w:vAnchor="page" w:x="280" w:y="477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registered investment companies sponsored by </w:t>
      </w:r>
    </w:p>
    <w:p>
      <w:pPr>
        <w:pStyle w:val="Normal"/>
        <w:framePr w:w="11062" w:hAnchor="page" w:vAnchor="page" w:x="280" w:y="45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Except as may be indicated if this is a joint filing with one of the </w:t>
      </w:r>
    </w:p>
    <w:p>
      <w:pPr>
        <w:pStyle w:val="Normal"/>
        <w:framePr w:w="6002" w:hAnchor="page" w:vAnchor="page" w:x="280" w:y="409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 whole or in part at any time. </w:t>
      </w:r>
    </w:p>
    <w:p>
      <w:pPr>
        <w:pStyle w:val="Normal"/>
        <w:framePr w:w="5861" w:hAnchor="page" w:vAnchor="page" w:x="280" w:y="38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may be revoked </w:t>
      </w:r>
    </w:p>
    <w:p>
      <w:pPr>
        <w:pStyle w:val="Normal"/>
        <w:framePr w:w="10359" w:hAnchor="page" w:vAnchor="page" w:x="280" w:y="364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Any and all discretionary authority which has been delegated to </w:t>
      </w:r>
    </w:p>
    <w:p>
      <w:pPr>
        <w:pStyle w:val="Normal"/>
        <w:framePr w:w="7970" w:hAnchor="page" w:vAnchor="page" w:x="280" w:y="342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Price Associates serves as investment adviser. </w:t>
      </w:r>
    </w:p>
    <w:p>
      <w:pPr>
        <w:pStyle w:val="Normal"/>
        <w:framePr w:w="9375" w:hAnchor="page" w:vAnchor="page" w:x="280" w:y="31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vested in the individual and institutional clients which </w:t>
      </w:r>
    </w:p>
    <w:p>
      <w:pPr>
        <w:pStyle w:val="Normal"/>
        <w:framePr w:w="10780" w:hAnchor="page" w:vAnchor="page" w:x="280" w:y="2970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the proceeds from the sale of, such securities, is </w:t>
      </w:r>
    </w:p>
    <w:p>
      <w:pPr>
        <w:pStyle w:val="Normal"/>
        <w:framePr w:w="10359" w:hAnchor="page" w:vAnchor="page" w:x="280" w:y="274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The ultimate power to direct the receipt of dividends paid with </w:t>
      </w:r>
    </w:p>
    <w:p>
      <w:pPr>
        <w:pStyle w:val="Normal"/>
        <w:framePr w:w="9797" w:hAnchor="page" w:vAnchor="page" w:x="280" w:y="229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respect to, and proceeds from the sale of, such securities. </w:t>
      </w:r>
    </w:p>
    <w:p>
      <w:pPr>
        <w:pStyle w:val="Normal"/>
        <w:framePr w:w="9516" w:hAnchor="page" w:vAnchor="page" w:x="280" w:y="206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trustee bank has the right to receive dividends paid with </w:t>
      </w:r>
    </w:p>
    <w:p>
      <w:pPr>
        <w:pStyle w:val="Normal"/>
        <w:framePr w:w="8953" w:hAnchor="page" w:vAnchor="page" w:x="280" w:y="184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instance only the client or the client's custodian or </w:t>
      </w:r>
    </w:p>
    <w:p>
      <w:pPr>
        <w:pStyle w:val="Normal"/>
        <w:framePr w:w="9516" w:hAnchor="page" w:vAnchor="page" w:x="280" w:y="161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        of the assets of any of its clients; accordingly, in each </w:t>
      </w:r>
    </w:p>
    <w:p>
      <w:pPr>
        <w:pStyle w:val="Normal"/>
        <w:framePr w:w="7688" w:hAnchor="page" w:vAnchor="page" w:x="280" w:y="139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(1)     Price Associates does not serve as custodian </w:t>
      </w:r>
    </w:p>
    <w:p>
      <w:pPr>
        <w:pStyle w:val="Normal"/>
        <w:framePr w:w="10359" w:hAnchor="page" w:vAnchor="page" w:x="280" w:y="9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6: Ownership of More than Five Percent on Behalf of Another Person </w:t>
      </w:r>
    </w:p>
    <w:p>
      <w:pPr>
        <w:pStyle w:val="Normal"/>
        <w:framePr w:w="2348" w:hAnchor="page" w:vAnchor="page" w:x="1217" w:y="49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Not Applicable </w:t>
      </w:r>
    </w:p>
    <w:p>
      <w:pPr>
        <w:pStyle w:val="Normal"/>
        <w:framePr w:w="7688" w:hAnchor="page" w:vAnchor="page" w:x="280" w:y="26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</w:pPr>
      <w:r>
        <w:rPr>
          <w:rFonts w:ascii="CourierNewPSMT" w:hAnsi="CourierNewPSMT" w:fareast="CourierNewPSMT" w:cs="CourierNewPSMT"/>
          <w:color w:val="000000"/>
          <w:w w:val="100"/>
          <w:sz w:val="20"/>
          <w:szCs w:val="20"/>
        </w:rPr>
        <w:t xml:space="preserve">Item 5: Ownership of Five Percent or Less of a Class 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7pt;margin-top:1pt;z-index:-16777208;width:598pt;height:732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sectPr>
      <w:pgSz w:w="12240" w:h="20160"/>
      <w:pgMar w:top="400" w:right="400" w:bottom="400" w:left="400" w:header="720" w:footer="720"/>
      <w:pgNumType w:start="2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CourierNewPSMT">
    <w:panose-1>"02070309020205020404"</w:panose-1>
    <w:charset>
      <w:val>"01"</w:val>
    </w:charset>
    <w:family>"Modern"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84bb01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2" Target="media/image2.png" Type="http://schemas.openxmlformats.org/officeDocument/2006/relationships/image"/><Relationship Id="rId3" Target="styles.xml" Type="http://schemas.openxmlformats.org/officeDocument/2006/relationships/styles"/><Relationship Id="rId4" Target="fontTable.xml" Type="http://schemas.openxmlformats.org/officeDocument/2006/relationships/fontTable"/><Relationship Id="rId5" Target="settings.xml" Type="http://schemas.openxmlformats.org/officeDocument/2006/relationships/settings"/><Relationship Id="rId6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2</Pages>
  <Words>717</Words>
  <Characters>3603</Characters>
  <Application>e-iceblue</Application>
  <DocSecurity>0</DocSecurity>
  <Lines>108</Lines>
  <Paragraphs>108</Paragraphs>
  <ScaleCrop>false</ScaleCrop>
  <Company>e-iceblue</Company>
  <LinksUpToDate>false</LinksUpToDate>
  <CharactersWithSpaces>4693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2024-02-15T07:52:44Z</dcterms:created>
  <dc:creator>root</dc:creator>
  <cp:lastModifiedBy>root</cp:lastModifiedBy>
  <dcterms:modified xsi:type="dcterms:W3CDTF">2024-02-15T07:52:44Z</dcterms:modified>
  <cp:revision>1</cp:revision>
</cp:coreProperties>
</file>