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1171" w:hAnchor="page" w:vAnchor="page" w:x="276" w:y="146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2023 (“Q3 10-Q”). The Company undertakes to provide similar discussions in its future periodic filings with the SEC.</w:t>
      </w:r>
    </w:p>
    <w:p>
      <w:pPr>
        <w:pStyle w:val="Normal"/>
        <w:framePr w:w="14273" w:hAnchor="page" w:vAnchor="page" w:x="276" w:y="144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operating profit and other key financial statement line items in the Company’s quarterly report on Form 10-Q for the three months ended September 30,</w:t>
      </w:r>
    </w:p>
    <w:p>
      <w:pPr>
        <w:pStyle w:val="Normal"/>
        <w:framePr w:w="13729" w:hAnchor="page" w:vAnchor="page" w:x="276" w:y="1420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comment, and has included a quantified discussion of material factors impacting the Company’s revenue,</w:t>
      </w:r>
    </w:p>
    <w:p>
      <w:pPr>
        <w:pStyle w:val="Normal"/>
        <w:framePr w:w="1179" w:hAnchor="page" w:vAnchor="page" w:x="276" w:y="137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7516" w:hAnchor="page" w:vAnchor="page" w:x="276" w:y="13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projects or products, where possible. Refer to Item 303(b) of Regulation S-K.</w:t>
      </w:r>
    </w:p>
    <w:p>
      <w:pPr>
        <w:pStyle w:val="Normal"/>
        <w:framePr w:w="14095" w:hAnchor="page" w:vAnchor="page" w:x="276" w:y="130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increase in North American activity. Please revise to include a quantified discussion of the factors impacting such activity with a focus on specific</w:t>
      </w:r>
    </w:p>
    <w:p>
      <w:pPr>
        <w:pStyle w:val="Normal"/>
        <w:framePr w:w="14180" w:hAnchor="page" w:vAnchor="page" w:x="276" w:y="128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discussion of the various factors impacting such change. In addition, you state that the increase in Surface Technologies revenue was driven by an</w:t>
      </w:r>
    </w:p>
    <w:p>
      <w:pPr>
        <w:pStyle w:val="Normal"/>
        <w:framePr w:w="13769" w:hAnchor="page" w:vAnchor="page" w:x="276" w:y="12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due to both volume and pricing in North America. Where a material change is due to two or more factors, please revise to provide a quantified</w:t>
      </w:r>
    </w:p>
    <w:p>
      <w:pPr>
        <w:pStyle w:val="Normal"/>
        <w:framePr w:w="14226" w:hAnchor="page" w:vAnchor="page" w:x="276" w:y="123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which was offset by the negative impact of foreign exchange. You also indicate that the increase in Surface Technologies operating profit increased</w:t>
      </w:r>
    </w:p>
    <w:p>
      <w:pPr>
        <w:pStyle w:val="Normal"/>
        <w:framePr w:w="13905" w:hAnchor="page" w:vAnchor="page" w:x="276" w:y="12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these factors. For example, you state that subsea revenue increased due to higher project installation activity in Brazil and the United Kingdom,</w:t>
      </w:r>
    </w:p>
    <w:p>
      <w:pPr>
        <w:pStyle w:val="Normal"/>
        <w:framePr w:w="14014" w:hAnchor="page" w:vAnchor="page" w:x="276" w:y="118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You refer to various factors that impacted your operations both here and in the segment discussion, however, you do not quantify the impact of</w:t>
      </w:r>
    </w:p>
    <w:p>
      <w:pPr>
        <w:pStyle w:val="Normal"/>
        <w:framePr w:w="13183" w:hAnchor="page" w:vAnchor="page" w:x="276" w:y="114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Management’s Discussion and Analysis of Financial Condition and Results of Operations Operating Results of Business Segments, page 48</w:t>
      </w:r>
    </w:p>
    <w:p>
      <w:pPr>
        <w:pStyle w:val="Normal"/>
        <w:framePr w:w="4940" w:hAnchor="page" w:vAnchor="page" w:x="276" w:y="110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10-K for the Year Ended December 31, 2022</w:t>
      </w:r>
    </w:p>
    <w:p>
      <w:pPr>
        <w:pStyle w:val="Normal"/>
        <w:framePr w:w="10695" w:hAnchor="page" w:vAnchor="page" w:x="276" w:y="105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terms used but not defined herein have the meanings assigned to such terms in the Form 10-K and Form 8-K.</w:t>
      </w:r>
    </w:p>
    <w:p>
      <w:pPr>
        <w:pStyle w:val="Normal"/>
        <w:framePr w:w="11429" w:hAnchor="page" w:vAnchor="page" w:x="276" w:y="100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Please note that the “Company” or “TechnipFMC” refers to TechnipFMC plc, together with its consolidated subsidiaries.</w:t>
      </w:r>
    </w:p>
    <w:p>
      <w:pPr>
        <w:pStyle w:val="Normal"/>
        <w:framePr w:w="5831" w:hAnchor="page" w:vAnchor="page" w:x="276" w:y="95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bold, followed by the Company’s response to the comments.</w:t>
      </w:r>
    </w:p>
    <w:p>
      <w:pPr>
        <w:pStyle w:val="Normal"/>
        <w:framePr w:w="14320" w:hAnchor="page" w:vAnchor="page" w:x="276" w:y="93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February 24, 2023 (the “Form 10-K”) and Form 8-K filed with the SEC on July 27, 2023 (the “Form 8-K”). The Staff’s comments are set forth below in</w:t>
      </w:r>
    </w:p>
    <w:p>
      <w:pPr>
        <w:pStyle w:val="Normal"/>
        <w:framePr w:w="13437" w:hAnchor="page" w:vAnchor="page" w:x="276" w:y="91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Commission (the “SEC”), relating to the above-referenced Form 10-K for the year ended December 31, 2022, filed with the SEC on</w:t>
      </w:r>
    </w:p>
    <w:p>
      <w:pPr>
        <w:pStyle w:val="Normal"/>
        <w:framePr w:w="13468" w:hAnchor="page" w:vAnchor="page" w:x="276" w:y="88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letter responds to the letter dated October 6, 2023, from the staff of the Division of Corporation Finance (the “Staff”) of the Securities and</w:t>
      </w:r>
    </w:p>
    <w:p>
      <w:pPr>
        <w:pStyle w:val="Normal"/>
        <w:framePr w:w="3229" w:hAnchor="page" w:vAnchor="page" w:x="276" w:y="85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Dear Ms. Collins and Ms. Chen:</w:t>
      </w:r>
    </w:p>
    <w:p>
      <w:pPr>
        <w:pStyle w:val="Normal"/>
        <w:framePr w:w="2059" w:hAnchor="page" w:vAnchor="page" w:x="748" w:y="80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File No. 001-37983</w:t>
      </w:r>
    </w:p>
    <w:p>
      <w:pPr>
        <w:pStyle w:val="Normal"/>
        <w:framePr w:w="3358" w:hAnchor="page" w:vAnchor="page" w:x="748" w:y="78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8-K filed on July 27, 2023</w:t>
      </w:r>
    </w:p>
    <w:p>
      <w:pPr>
        <w:pStyle w:val="Normal"/>
        <w:framePr w:w="5190" w:hAnchor="page" w:vAnchor="page" w:x="748" w:y="76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Form 10-K for the Year Ended December 31, 2022</w:t>
      </w:r>
    </w:p>
    <w:p>
      <w:pPr>
        <w:pStyle w:val="Normal"/>
        <w:framePr w:w="2453" w:hAnchor="page" w:vAnchor="page" w:x="276" w:y="73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Re:    TechnipFMC plc</w:t>
      </w:r>
    </w:p>
    <w:p>
      <w:pPr>
        <w:pStyle w:val="Normal"/>
        <w:framePr w:w="4270" w:hAnchor="page" w:vAnchor="page" w:x="276" w:y="68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Attention: Kathleen Collins and Chen Chen</w:t>
      </w:r>
    </w:p>
    <w:p>
      <w:pPr>
        <w:pStyle w:val="Normal"/>
        <w:framePr w:w="2401" w:hAnchor="page" w:vAnchor="page" w:x="276" w:y="63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DC 20549</w:t>
      </w:r>
    </w:p>
    <w:p>
      <w:pPr>
        <w:pStyle w:val="Normal"/>
        <w:framePr w:w="1899" w:hAnchor="page" w:vAnchor="page" w:x="276" w:y="60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F Street, N.E.</w:t>
      </w:r>
    </w:p>
    <w:p>
      <w:pPr>
        <w:pStyle w:val="Normal"/>
        <w:framePr w:w="3242" w:hAnchor="page" w:vAnchor="page" w:x="276" w:y="58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Division of Corporation Finance</w:t>
      </w:r>
    </w:p>
    <w:p>
      <w:pPr>
        <w:pStyle w:val="Normal"/>
        <w:framePr w:w="4199" w:hAnchor="page" w:vAnchor="page" w:x="276" w:y="56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U.S. Securities and Exchange Commission</w:t>
      </w:r>
    </w:p>
    <w:p>
      <w:pPr>
        <w:pStyle w:val="Normal"/>
        <w:framePr w:w="1403" w:hAnchor="page" w:vAnchor="page" w:x="276" w:y="52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Via EDGAR</w:t>
      </w:r>
    </w:p>
    <w:p>
      <w:pPr>
        <w:pStyle w:val="Normal"/>
        <w:framePr w:w="1065" w:hAnchor="page" w:vAnchor="page" w:x="8073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Madrid</w:t>
      </w:r>
    </w:p>
    <w:p>
      <w:pPr>
        <w:pStyle w:val="Normal"/>
        <w:framePr w:w="344" w:hAnchor="page" w:vAnchor="page" w:x="10084" w:y="46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547" w:hAnchor="page" w:vAnchor="page" w:x="8073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Los Angeles</w:t>
      </w:r>
    </w:p>
    <w:p>
      <w:pPr>
        <w:pStyle w:val="Normal"/>
        <w:framePr w:w="2019" w:hAnchor="page" w:vAnchor="page" w:x="10084" w:y="44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Washington, D.C.</w:t>
      </w:r>
    </w:p>
    <w:p>
      <w:pPr>
        <w:pStyle w:val="Normal"/>
        <w:framePr w:w="1104" w:hAnchor="page" w:vAnchor="page" w:x="8073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London</w:t>
      </w:r>
    </w:p>
    <w:p>
      <w:pPr>
        <w:pStyle w:val="Normal"/>
        <w:framePr w:w="955" w:hAnchor="page" w:vAnchor="page" w:x="10084" w:y="42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Tokyo</w:t>
      </w:r>
    </w:p>
    <w:p>
      <w:pPr>
        <w:pStyle w:val="Normal"/>
        <w:framePr w:w="1168" w:hAnchor="page" w:vAnchor="page" w:x="8073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Houston</w:t>
      </w:r>
    </w:p>
    <w:p>
      <w:pPr>
        <w:pStyle w:val="Normal"/>
        <w:framePr w:w="1162" w:hAnchor="page" w:vAnchor="page" w:x="10084" w:y="399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Tel Aviv</w:t>
      </w:r>
    </w:p>
    <w:p>
      <w:pPr>
        <w:pStyle w:val="Normal"/>
        <w:framePr w:w="1470" w:hAnchor="page" w:vAnchor="page" w:x="8073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Hong Kong</w:t>
      </w:r>
    </w:p>
    <w:p>
      <w:pPr>
        <w:pStyle w:val="Normal"/>
        <w:framePr w:w="1305" w:hAnchor="page" w:vAnchor="page" w:x="10084" w:y="37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Singapore</w:t>
      </w:r>
    </w:p>
    <w:p>
      <w:pPr>
        <w:pStyle w:val="Normal"/>
        <w:framePr w:w="1254" w:hAnchor="page" w:vAnchor="page" w:x="8073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Hamburg</w:t>
      </w:r>
    </w:p>
    <w:p>
      <w:pPr>
        <w:pStyle w:val="Normal"/>
        <w:framePr w:w="1671" w:hAnchor="page" w:vAnchor="page" w:x="10084" w:y="35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Silicon Valley</w:t>
      </w:r>
    </w:p>
    <w:p>
      <w:pPr>
        <w:pStyle w:val="Normal"/>
        <w:framePr w:w="1258" w:hAnchor="page" w:vAnchor="page" w:x="8073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Frankfurt</w:t>
      </w:r>
    </w:p>
    <w:p>
      <w:pPr>
        <w:pStyle w:val="Normal"/>
        <w:framePr w:w="894" w:hAnchor="page" w:vAnchor="page" w:x="10084" w:y="32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Seoul</w:t>
      </w:r>
    </w:p>
    <w:p>
      <w:pPr>
        <w:pStyle w:val="Normal"/>
        <w:framePr w:w="1956" w:hAnchor="page" w:vAnchor="page" w:x="276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November 6, 2023</w:t>
      </w:r>
    </w:p>
    <w:p>
      <w:pPr>
        <w:pStyle w:val="Normal"/>
        <w:framePr w:w="1400" w:hAnchor="page" w:vAnchor="page" w:x="8073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Düsseldorf</w:t>
      </w:r>
    </w:p>
    <w:p>
      <w:pPr>
        <w:pStyle w:val="Normal"/>
        <w:framePr w:w="1671" w:hAnchor="page" w:vAnchor="page" w:x="10084" w:y="30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Francisco</w:t>
      </w:r>
    </w:p>
    <w:p>
      <w:pPr>
        <w:pStyle w:val="Normal"/>
        <w:framePr w:w="950" w:hAnchor="page" w:vAnchor="page" w:x="8073" w:y="28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Dubai</w:t>
      </w:r>
    </w:p>
    <w:p>
      <w:pPr>
        <w:pStyle w:val="Normal"/>
        <w:framePr w:w="1337" w:hAnchor="page" w:vAnchor="page" w:x="10084" w:y="28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San Diego</w:t>
      </w:r>
    </w:p>
    <w:p>
      <w:pPr>
        <w:pStyle w:val="Normal"/>
        <w:framePr w:w="1155" w:hAnchor="page" w:vAnchor="page" w:x="8073" w:y="26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Chicago</w:t>
      </w:r>
    </w:p>
    <w:p>
      <w:pPr>
        <w:pStyle w:val="Normal"/>
        <w:framePr w:w="1035" w:hAnchor="page" w:vAnchor="page" w:x="10084" w:y="26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Riyadh</w:t>
      </w:r>
    </w:p>
    <w:p>
      <w:pPr>
        <w:pStyle w:val="Normal"/>
        <w:framePr w:w="1586" w:hAnchor="page" w:vAnchor="page" w:x="8073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Century City</w:t>
      </w:r>
    </w:p>
    <w:p>
      <w:pPr>
        <w:pStyle w:val="Normal"/>
        <w:framePr w:w="830" w:hAnchor="page" w:vAnchor="page" w:x="10084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Paris</w:t>
      </w:r>
    </w:p>
    <w:p>
      <w:pPr>
        <w:pStyle w:val="Normal"/>
        <w:framePr w:w="1168" w:hAnchor="page" w:vAnchor="page" w:x="8073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Brussels</w:t>
      </w:r>
    </w:p>
    <w:p>
      <w:pPr>
        <w:pStyle w:val="Normal"/>
        <w:framePr w:w="1787" w:hAnchor="page" w:vAnchor="page" w:x="10084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Orange County</w:t>
      </w:r>
    </w:p>
    <w:p>
      <w:pPr>
        <w:pStyle w:val="Normal"/>
        <w:framePr w:w="1040" w:hAnchor="page" w:vAnchor="page" w:x="8073" w:y="1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Boston</w:t>
      </w:r>
    </w:p>
    <w:p>
      <w:pPr>
        <w:pStyle w:val="Normal"/>
        <w:framePr w:w="1314" w:hAnchor="page" w:vAnchor="page" w:x="10084" w:y="1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New York</w:t>
      </w:r>
    </w:p>
    <w:p>
      <w:pPr>
        <w:pStyle w:val="Normal"/>
        <w:framePr w:w="1065" w:hAnchor="page" w:vAnchor="page" w:x="8073" w:y="1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Beijing</w:t>
      </w:r>
    </w:p>
    <w:p>
      <w:pPr>
        <w:pStyle w:val="Normal"/>
        <w:framePr w:w="1087" w:hAnchor="page" w:vAnchor="page" w:x="10084" w:y="16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Munich</w:t>
      </w:r>
    </w:p>
    <w:p>
      <w:pPr>
        <w:pStyle w:val="Normal"/>
        <w:framePr w:w="1001" w:hAnchor="page" w:vAnchor="page" w:x="8073" w:y="1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Austin</w:t>
      </w:r>
    </w:p>
    <w:p>
      <w:pPr>
        <w:pStyle w:val="Normal"/>
        <w:framePr w:w="920" w:hAnchor="page" w:vAnchor="page" w:x="10084" w:y="14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Milan</w:t>
      </w:r>
    </w:p>
    <w:p>
      <w:pPr>
        <w:pStyle w:val="Normal"/>
        <w:framePr w:w="3258" w:hAnchor="page" w:vAnchor="page" w:x="8073" w:y="12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 FIRM / AFFILIATE OFFICES</w:t>
      </w:r>
    </w:p>
    <w:p>
      <w:pPr>
        <w:pStyle w:val="Normal"/>
        <w:framePr w:w="344" w:hAnchor="page" w:vAnchor="page" w:x="8073" w:y="8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445" w:hAnchor="page" w:vAnchor="page" w:x="8203" w:y="8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www.lw.com</w:t>
      </w:r>
    </w:p>
    <w:p>
      <w:pPr>
        <w:pStyle w:val="Normal"/>
        <w:framePr w:w="4322" w:hAnchor="page" w:vAnchor="page" w:x="8203" w:y="6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Tel: +1.202.637.2200 Fax: +1.202.637.2201</w:t>
      </w:r>
    </w:p>
    <w:p>
      <w:pPr>
        <w:pStyle w:val="Normal"/>
        <w:framePr w:w="3056" w:hAnchor="page" w:vAnchor="page" w:x="8203" w:y="3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20004-1304</w:t>
      </w:r>
    </w:p>
    <w:p>
      <w:pPr>
        <w:pStyle w:val="Normal"/>
        <w:framePr w:w="3760" w:hAnchor="page" w:vAnchor="page" w:x="8203" w:y="1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555 Eleventh Street, N.W., Suite 1000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8pt;margin-top:60.6pt;z-index:-16777208;width:205.4pt;height:2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271.5pt;z-index:-16777204;width:50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2.8pt;margin-top:562.3pt;z-index:-16777200;width:25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36.1pt;margin-top:562.3pt;z-index:-16777196;width:21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55.9pt;margin-top:562.3pt;z-index:-16777192;width:15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2.8pt;margin-top:579.65pt;z-index:-16777188;width:347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1.1pt;margin-top:579.65pt;z-index:-16777184;width:193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2.8pt;margin-top:695.35pt;z-index:-16777180;width:3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</w:p>
    <w:p>
      <w:pPr>
        <w:pStyle w:val="Normal"/>
        <w:framePr w:w="344" w:hAnchor="page" w:vAnchor="page" w:x="6130" w:y="133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459" w:hAnchor="page" w:vAnchor="page" w:x="276" w:y="129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97</w:t>
      </w:r>
    </w:p>
    <w:p>
      <w:pPr>
        <w:pStyle w:val="Normal"/>
        <w:framePr w:w="14355" w:hAnchor="page" w:vAnchor="page" w:x="276" w:y="127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Consolidated Financial Statements of TechnipFMC PLC and Consolidated Subsidiaries Note 22. Pension and Other Post-Retirement Benefit Plans, page</w:t>
      </w:r>
    </w:p>
    <w:p>
      <w:pPr>
        <w:pStyle w:val="Normal"/>
        <w:framePr w:w="1250" w:hAnchor="page" w:vAnchor="page" w:x="276" w:y="122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operations.</w:t>
      </w:r>
    </w:p>
    <w:p>
      <w:pPr>
        <w:pStyle w:val="Normal"/>
        <w:framePr w:w="13710" w:hAnchor="page" w:vAnchor="page" w:x="276" w:y="120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conversations with its customers, while such information does not provide investors with meaningful insights on the Company’s overall results of</w:t>
      </w:r>
    </w:p>
    <w:p>
      <w:pPr>
        <w:pStyle w:val="Normal"/>
        <w:framePr w:w="13397" w:hAnchor="page" w:vAnchor="page" w:x="276" w:y="118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business and future prospects as information on activity, pricing, inventory and other data could negatively impact the Company’s commercial</w:t>
      </w:r>
    </w:p>
    <w:p>
      <w:pPr>
        <w:pStyle w:val="Normal"/>
        <w:framePr w:w="13702" w:hAnchor="page" w:vAnchor="page" w:x="276" w:y="115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also believes that periodic disclosure of factors impacting individual product lines could cause competitive harm to the Company’s</w:t>
      </w:r>
    </w:p>
    <w:p>
      <w:pPr>
        <w:pStyle w:val="Normal"/>
        <w:framePr w:w="4415" w:hAnchor="page" w:vAnchor="page" w:x="276" w:y="111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risk to future project awards to the Company.</w:t>
      </w:r>
    </w:p>
    <w:p>
      <w:pPr>
        <w:pStyle w:val="Normal"/>
        <w:framePr w:w="14222" w:hAnchor="page" w:vAnchor="page" w:x="276" w:y="108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project-level information, while immaterial to investors, could cause competitive harm to the business of the Company’s customers and in turn, pose</w:t>
      </w:r>
    </w:p>
    <w:p>
      <w:pPr>
        <w:pStyle w:val="Normal"/>
        <w:framePr w:w="14172" w:hAnchor="page" w:vAnchor="page" w:x="276" w:y="106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market-sensitive customer information, particularly where the Company’s work scope represents a material portion of a customer’s project. Disclosure</w:t>
      </w:r>
    </w:p>
    <w:p>
      <w:pPr>
        <w:pStyle w:val="Normal"/>
        <w:framePr w:w="14256" w:hAnchor="page" w:vAnchor="page" w:x="276" w:y="104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Moreover, project-related activities contribute to more than half of the Company’s revenue, and disclosure on specific projects could result in release of</w:t>
      </w:r>
    </w:p>
    <w:p>
      <w:pPr>
        <w:pStyle w:val="Normal"/>
        <w:framePr w:w="7191" w:hAnchor="page" w:vAnchor="page" w:x="276" w:y="99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large backlog of projects and diversity of the Company’s product offerings.</w:t>
      </w:r>
    </w:p>
    <w:p>
      <w:pPr>
        <w:pStyle w:val="Normal"/>
        <w:framePr w:w="14094" w:hAnchor="page" w:vAnchor="page" w:x="276" w:y="97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based on specific projects and individual product lines does not provide meaningful insights on the Company’s overall results of operations due to the</w:t>
      </w:r>
    </w:p>
    <w:p>
      <w:pPr>
        <w:pStyle w:val="Normal"/>
        <w:framePr w:w="14203" w:hAnchor="page" w:vAnchor="page" w:x="276" w:y="94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Additionally, the Company respectfully advises the Staff that, it believes a quantified discussion of factors impacting key financial statement line items</w:t>
      </w:r>
    </w:p>
    <w:p>
      <w:pPr>
        <w:pStyle w:val="Normal"/>
        <w:framePr w:w="7387" w:hAnchor="page" w:vAnchor="page" w:x="276" w:y="90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operational performance and $5.3 million due to higher Middle East activity.</w:t>
      </w:r>
    </w:p>
    <w:p>
      <w:pPr>
        <w:pStyle w:val="Normal"/>
        <w:framePr w:w="13659" w:hAnchor="page" w:vAnchor="page" w:x="276" w:y="87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Surface Technologies operating profit increased versus the prior year by $14.3 million, of which $7.2 million is due to North America’s improved</w:t>
      </w:r>
    </w:p>
    <w:p>
      <w:pPr>
        <w:pStyle w:val="Normal"/>
        <w:framePr w:w="6409" w:hAnchor="page" w:vAnchor="page" w:x="276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which the Middle East represented 25.2% and 20.6%, respectively.</w:t>
      </w:r>
    </w:p>
    <w:p>
      <w:pPr>
        <w:pStyle w:val="Normal"/>
        <w:framePr w:w="14307" w:hAnchor="page" w:vAnchor="page" w:x="276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three months ended September 30, 2023 and 2022, 60.6% and 54.0% of total segment revenue, respectively, was generated outside of North America, of</w:t>
      </w:r>
    </w:p>
    <w:p>
      <w:pPr>
        <w:pStyle w:val="Normal"/>
        <w:framePr w:w="13874" w:hAnchor="page" w:vAnchor="page" w:x="276" w:y="77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Surface Technologies revenue increased by $30.6 million, $22.2 million of which is attributable to increased activity in the Middle East. During the</w:t>
      </w:r>
    </w:p>
    <w:p>
      <w:pPr>
        <w:pStyle w:val="Normal"/>
        <w:framePr w:w="9864" w:hAnchor="page" w:vAnchor="page" w:x="276" w:y="71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$52.7 million in favorable activity mix, partially offset by a $22.0 million increase in operating expense.</w:t>
      </w:r>
    </w:p>
    <w:p>
      <w:pPr>
        <w:pStyle w:val="Normal"/>
        <w:framePr w:w="14080" w:hAnchor="page" w:vAnchor="page" w:x="276" w:y="69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Subsea operating profit for the three months ended September 30, 2023, increased by $72.7 million. $42.0 million comes from volume, combined with</w:t>
      </w:r>
    </w:p>
    <w:p>
      <w:pPr>
        <w:pStyle w:val="Normal"/>
        <w:framePr w:w="1166" w:hAnchor="page" w:vAnchor="page" w:x="27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world.</w:t>
      </w:r>
    </w:p>
    <w:p>
      <w:pPr>
        <w:pStyle w:val="Normal"/>
        <w:framePr w:w="14154" w:hAnchor="page" w:vAnchor="page" w:x="276" w:y="61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increase comes from Brazil, $116.9 million from Norway and $54.1 million from the United States, offset by net $20.9 million decrease from the rest of</w:t>
      </w:r>
    </w:p>
    <w:p>
      <w:pPr>
        <w:pStyle w:val="Normal"/>
        <w:framePr w:w="13624" w:hAnchor="page" w:vAnchor="page" w:x="276" w:y="59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Subsea revenue increased $293.3 million, as a continued positive impact of the backlog increase in 2022, compared to prior year. $143.6 million</w:t>
      </w:r>
    </w:p>
    <w:p>
      <w:pPr>
        <w:pStyle w:val="Normal"/>
        <w:framePr w:w="8310" w:hAnchor="page" w:vAnchor="page" w:x="276" w:y="53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improved operational performance and $6.4 million due to higher Middle East activity.</w:t>
      </w:r>
    </w:p>
    <w:p>
      <w:pPr>
        <w:pStyle w:val="Normal"/>
        <w:framePr w:w="13932" w:hAnchor="page" w:vAnchor="page" w:x="276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 favorable activity mix. Surface Technologies gross profit increased year-over-year by $13.1 million, of which $9.4 million due to North America’s</w:t>
      </w:r>
    </w:p>
    <w:p>
      <w:pPr>
        <w:pStyle w:val="Normal"/>
        <w:framePr w:w="14294" w:hAnchor="page" w:vAnchor="page" w:x="276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prior-year period. Subsea gross profit increased year over year by $94.7 million, of which $42.0 million is due to volume increase and $52.7 million</w:t>
      </w:r>
    </w:p>
    <w:p>
      <w:pPr>
        <w:pStyle w:val="Normal"/>
        <w:framePr w:w="14153" w:hAnchor="page" w:vAnchor="page" w:x="276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Gross profit (revenue less cost of sales) increased to $366.9 million during the three months ended September 30, 2023, compared to $256.0 million in</w:t>
      </w:r>
    </w:p>
    <w:p>
      <w:pPr>
        <w:pStyle w:val="Normal"/>
        <w:framePr w:w="1361" w:hAnchor="page" w:vAnchor="page" w:x="276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Gross Profit</w:t>
      </w:r>
    </w:p>
    <w:p>
      <w:pPr>
        <w:pStyle w:val="Normal"/>
        <w:framePr w:w="1410" w:hAnchor="page" w:vAnchor="page" w:x="276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Middle East.</w:t>
      </w:r>
    </w:p>
    <w:p>
      <w:pPr>
        <w:pStyle w:val="Normal"/>
        <w:framePr w:w="14268" w:hAnchor="page" w:vAnchor="page" w:x="276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project revenues over the period. Surface Technologies revenue increased by $30.6 million, out of which $22.2 million is due to increased activity in the</w:t>
      </w:r>
    </w:p>
    <w:p>
      <w:pPr>
        <w:pStyle w:val="Normal"/>
        <w:framePr w:w="13713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by $293.3 million, primarily driven by a 24.5% higher backlog as of December 31, 2021, than December 31, 2022, converting into an increase in</w:t>
      </w:r>
    </w:p>
    <w:p>
      <w:pPr>
        <w:pStyle w:val="Normal"/>
        <w:framePr w:w="14212" w:hAnchor="page" w:vAnchor="page" w:x="276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Revenue increased $323.9 million during the three months ended September 30, 2023, compared to the same period in 2022. Subsea revenue increased</w:t>
      </w:r>
    </w:p>
    <w:p>
      <w:pPr>
        <w:pStyle w:val="Normal"/>
        <w:framePr w:w="1011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Revenue</w:t>
      </w:r>
    </w:p>
    <w:p>
      <w:pPr>
        <w:pStyle w:val="Normal"/>
        <w:framePr w:w="4988" w:hAnchor="page" w:vAnchor="page" w:x="4195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Three Months Ended September 30, 2023 and 2022</w:t>
      </w:r>
    </w:p>
    <w:p>
      <w:pPr>
        <w:pStyle w:val="Normal"/>
        <w:framePr w:w="5374" w:hAnchor="page" w:vAnchor="page" w:x="4034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Consolidated Results of Operations of TechnipFMC plc</w:t>
      </w:r>
    </w:p>
    <w:p>
      <w:pPr>
        <w:pStyle w:val="Normal"/>
        <w:framePr w:w="2123" w:hAnchor="page" w:vAnchor="page" w:x="276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illustrative example:</w:t>
      </w:r>
    </w:p>
    <w:p>
      <w:pPr>
        <w:pStyle w:val="Normal"/>
        <w:framePr w:w="13998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comparison of the three months ended September 30, 2023 and 2022, as included in the Company’s Q3 10-Q, is set forth below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(in italics)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an</w:t>
      </w:r>
    </w:p>
    <w:p>
      <w:pPr>
        <w:pStyle w:val="Normal"/>
        <w:framePr w:w="87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2</w:t>
      </w:r>
    </w:p>
    <w:p>
      <w:pPr>
        <w:pStyle w:val="Normal"/>
        <w:framePr w:w="200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November 6,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7pt;margin-top:1pt;z-index:-167771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1pt;z-index:-167771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2.45pt;z-index:-167771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597.95pt;margin-top:1pt;z-index:-167771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2.8pt;margin-top:1pt;z-index:-167771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.8pt;margin-top:46.1pt;z-index:-16777156;width:146.1pt;height:1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00.7pt;margin-top:112.4pt;z-index:-16777152;width:21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208.75pt;margin-top:123.95pt;z-index:-16777148;width:200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644.75pt;z-index:-16777144;width:339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52.45pt;margin-top:644.75pt;z-index:-16777140;width:2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656.3pt;z-index:-16777136;width:1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</w:p>
    <w:p>
      <w:pPr>
        <w:pStyle w:val="Normal"/>
        <w:framePr w:w="344" w:hAnchor="page" w:vAnchor="page" w:x="6130" w:y="132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3692" w:hAnchor="page" w:vAnchor="page" w:x="276" w:y="128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proposed revisions in your response.</w:t>
      </w:r>
    </w:p>
    <w:p>
      <w:pPr>
        <w:pStyle w:val="Normal"/>
        <w:framePr w:w="13507" w:hAnchor="page" w:vAnchor="page" w:x="276" w:y="12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misleading” as your current disclosures appear to imply that the GAAP financial measures could potentially be misleading. Provide us with</w:t>
      </w:r>
    </w:p>
    <w:p>
      <w:pPr>
        <w:pStyle w:val="Normal"/>
        <w:framePr w:w="14025" w:hAnchor="page" w:vAnchor="page" w:x="276" w:y="12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otherwise be masked or misleading to both investors and management by the excluded items. Please revise to remove the reference to “masked or</w:t>
      </w:r>
    </w:p>
    <w:p>
      <w:pPr>
        <w:pStyle w:val="Normal"/>
        <w:framePr w:w="14215" w:hAnchor="page" w:vAnchor="page" w:x="276" w:y="121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effectively evaluate TechnipFMC’s operations and consolidated results of operations period-over-period, and to identify operating trends that could</w:t>
      </w:r>
    </w:p>
    <w:p>
      <w:pPr>
        <w:pStyle w:val="Normal"/>
        <w:framePr w:w="14393" w:hAnchor="page" w:vAnchor="page" w:x="276" w:y="1196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3.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You state that management believes the exclusion of charges and credits from your financial measures enables investors and management to more</w:t>
      </w:r>
    </w:p>
    <w:p>
      <w:pPr>
        <w:pStyle w:val="Normal"/>
        <w:framePr w:w="6570" w:hAnchor="page" w:vAnchor="page" w:x="276" w:y="114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Reconciliation of GAAP to non-GAAP Financial Measures, page 18</w:t>
      </w:r>
    </w:p>
    <w:p>
      <w:pPr>
        <w:pStyle w:val="Normal"/>
        <w:framePr w:w="1372" w:hAnchor="page" w:vAnchor="page" w:x="276" w:y="112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Exhibit 99.1</w:t>
      </w:r>
    </w:p>
    <w:p>
      <w:pPr>
        <w:pStyle w:val="Normal"/>
        <w:framePr w:w="4386" w:hAnchor="page" w:vAnchor="page" w:x="276" w:y="11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2.02 Form 8-K Furnished July 27, 2023</w:t>
      </w:r>
    </w:p>
    <w:p>
      <w:pPr>
        <w:pStyle w:val="Normal"/>
        <w:framePr w:w="11535" w:hAnchor="page" w:vAnchor="page" w:x="276" w:y="1057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post-retirement benefit plans, and as such, the error does not represent a significant deficiency or material weakness.</w:t>
      </w:r>
    </w:p>
    <w:p>
      <w:pPr>
        <w:pStyle w:val="Normal"/>
        <w:framePr w:w="13933" w:hAnchor="page" w:vAnchor="page" w:x="276" w:y="103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key control process and is not indicative of a systemic failure of controls on the calculation and reporting of the Company’s pension and</w:t>
      </w:r>
    </w:p>
    <w:p>
      <w:pPr>
        <w:pStyle w:val="Normal"/>
        <w:framePr w:w="13990" w:hAnchor="page" w:vAnchor="page" w:x="276" w:y="101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 also assessed the control failure associated with the arithmetic error and concluded that the error was an isolated incident outside of the</w:t>
      </w:r>
    </w:p>
    <w:p>
      <w:pPr>
        <w:pStyle w:val="Normal"/>
        <w:framePr w:w="13335" w:hAnchor="page" w:vAnchor="page" w:x="276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will be corrected in the Company’s annual report on Form 10-K for the year ending December 31, 2023 and future SEC filings, as applicable.</w:t>
      </w:r>
    </w:p>
    <w:p>
      <w:pPr>
        <w:pStyle w:val="Normal"/>
        <w:framePr w:w="14150" w:hAnchor="page" w:vAnchor="page" w:x="276" w:y="9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market reaction, positive or negative. Management therefore determined this error is immaterial to previously issued financial statements and the error</w:t>
      </w:r>
    </w:p>
    <w:p>
      <w:pPr>
        <w:pStyle w:val="Normal"/>
        <w:framePr w:w="14286" w:hAnchor="page" w:vAnchor="page" w:x="276" w:y="91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Form 10-K would have been changed or influenced by this item. Management concluded that correction of the error would not result in any</w:t>
      </w:r>
    </w:p>
    <w:p>
      <w:pPr>
        <w:pStyle w:val="Normal"/>
        <w:framePr w:w="14248" w:hAnchor="page" w:vAnchor="page" w:x="276" w:y="89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significant to the users of its financial statements as it is not probable that the judgment of a reasonable person relying on the financial statements in the</w:t>
      </w:r>
    </w:p>
    <w:p>
      <w:pPr>
        <w:pStyle w:val="Normal"/>
        <w:framePr w:w="14080" w:hAnchor="page" w:vAnchor="page" w:x="276" w:y="87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material impact on the Company’s reported results. Based on this assessment, management concluded that the weighted-average discount rate is not</w:t>
      </w:r>
    </w:p>
    <w:p>
      <w:pPr>
        <w:pStyle w:val="Normal"/>
        <w:framePr w:w="14342" w:hAnchor="page" w:vAnchor="page" w:x="276" w:y="84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Company’s assessment considered both quantitative and qualitative factors and the effect of the error, including an analysis of whether the error had</w:t>
      </w:r>
    </w:p>
    <w:p>
      <w:pPr>
        <w:pStyle w:val="Normal"/>
        <w:framePr w:w="14050" w:hAnchor="page" w:vAnchor="page" w:x="276" w:y="82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Management performed and documented an assessment of the error noted above based on Staff Accounting Bulletin No. 99: Materiality (“SAB 99”).</w:t>
      </w:r>
    </w:p>
    <w:p>
      <w:pPr>
        <w:pStyle w:val="Normal"/>
        <w:framePr w:w="11266" w:hAnchor="page" w:vAnchor="page" w:x="276" w:y="77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during fiscal year 2022, the Company observed increases in corporate and government bond yields across all countries.</w:t>
      </w:r>
    </w:p>
    <w:p>
      <w:pPr>
        <w:pStyle w:val="Normal"/>
        <w:framePr w:w="13833" w:hAnchor="page" w:vAnchor="page" w:x="276" w:y="75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reference to a government bond index. There was no change in methodologies in determining discount rate at fiscal 2021 and 2022. However,</w:t>
      </w:r>
    </w:p>
    <w:p>
      <w:pPr>
        <w:pStyle w:val="Normal"/>
        <w:framePr w:w="14082" w:hAnchor="page" w:vAnchor="page" w:x="276" w:y="73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calculate the present value of each individual plan. For countries that lack a sufficient corporate bond market, such as Brazil, the discount rate was set</w:t>
      </w:r>
    </w:p>
    <w:p>
      <w:pPr>
        <w:pStyle w:val="Normal"/>
        <w:framePr w:w="13771" w:hAnchor="page" w:vAnchor="page" w:x="276" w:y="71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quality corporate bonds available in each market. A single equivalent discount rate within the same market as of a fiscal year end was then used to</w:t>
      </w:r>
    </w:p>
    <w:p>
      <w:pPr>
        <w:pStyle w:val="Normal"/>
        <w:framePr w:w="13938" w:hAnchor="page" w:vAnchor="page" w:x="276" w:y="68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discount rates for all international plans were derived using each plan’s projected benefit cashflows and a yield curve constructed based on high</w:t>
      </w:r>
    </w:p>
    <w:p>
      <w:pPr>
        <w:pStyle w:val="Normal"/>
        <w:framePr w:w="2092" w:hAnchor="page" w:vAnchor="page" w:x="1317" w:y="64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pension obligations.</w:t>
      </w:r>
    </w:p>
    <w:p>
      <w:pPr>
        <w:pStyle w:val="Normal"/>
        <w:framePr w:w="309" w:hAnchor="page" w:vAnchor="page" w:x="854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12603" w:hAnchor="page" w:vAnchor="page" w:x="1317" w:y="61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rates in the range of 3.7%—9.9% for the rest of the Company’s international plans, making up the remaining 7% of total international</w:t>
      </w:r>
    </w:p>
    <w:p>
      <w:pPr>
        <w:pStyle w:val="Normal"/>
        <w:framePr w:w="309" w:hAnchor="page" w:vAnchor="page" w:x="854" w:y="58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517" w:hAnchor="page" w:vAnchor="page" w:x="1317" w:y="58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3.8% for the French plans, representing 7% of total international pension obligations; and</w:t>
      </w:r>
    </w:p>
    <w:p>
      <w:pPr>
        <w:pStyle w:val="Normal"/>
        <w:framePr w:w="309" w:hAnchor="page" w:vAnchor="page" w:x="854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•</w:t>
      </w:r>
    </w:p>
    <w:p>
      <w:pPr>
        <w:pStyle w:val="Normal"/>
        <w:framePr w:w="8048" w:hAnchor="page" w:vAnchor="page" w:x="1317" w:y="545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4.9% for the U.K. plans, representing 86% of total international pension obligations;</w:t>
      </w:r>
    </w:p>
    <w:p>
      <w:pPr>
        <w:pStyle w:val="Normal"/>
        <w:framePr w:w="4629" w:hAnchor="page" w:vAnchor="page" w:x="276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discount rates used in the calculation were:</w:t>
      </w:r>
    </w:p>
    <w:p>
      <w:pPr>
        <w:pStyle w:val="Normal"/>
        <w:framePr w:w="4802" w:hAnchor="page" w:vAnchor="page" w:x="276" w:y="46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(arithmetic average instead of weighted average).</w:t>
      </w:r>
    </w:p>
    <w:p>
      <w:pPr>
        <w:pStyle w:val="Normal"/>
        <w:framePr w:w="13795" w:hAnchor="page" w:vAnchor="page" w:x="276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 discount rates were aggregated to generate the weighted-average discount rate where the arithmetic error occurred due to a wrong formula</w:t>
      </w:r>
    </w:p>
    <w:p>
      <w:pPr>
        <w:pStyle w:val="Normal"/>
        <w:framePr w:w="13617" w:hAnchor="page" w:vAnchor="page" w:x="27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recording pension benefit obligation as of December 31, 2022, as the calculation was performed by country and/or plan. The correct country</w:t>
      </w:r>
    </w:p>
    <w:p>
      <w:pPr>
        <w:pStyle w:val="Normal"/>
        <w:framePr w:w="14219" w:hAnchor="page" w:vAnchor="page" w:x="276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the consolidated financial statements in the Form 10-K and the correct country specific discount rates, as shown below, were used when determining</w:t>
      </w:r>
    </w:p>
    <w:p>
      <w:pPr>
        <w:pStyle w:val="Normal"/>
        <w:framePr w:w="14228" w:hAnchor="page" w:vAnchor="page" w:x="276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error relates only to the weighted-average discount rate for the Company’s international pension plans in fiscal 2022 that was disclosed in Note 22</w:t>
      </w:r>
    </w:p>
    <w:p>
      <w:pPr>
        <w:pStyle w:val="Normal"/>
        <w:framePr w:w="6466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report on Form 10-K for the fiscal year ending December 31, 2023.</w:t>
      </w:r>
    </w:p>
    <w:p>
      <w:pPr>
        <w:pStyle w:val="Normal"/>
        <w:framePr w:w="14177" w:hAnchor="page" w:vAnchor="page" w:x="276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discount rate of 9.97% disclosed in the Form 10-K was incorrect due to an arithmetic error. The Company will correct the error in its upcoming annual</w:t>
      </w:r>
    </w:p>
    <w:p>
      <w:pPr>
        <w:pStyle w:val="Normal"/>
        <w:framePr w:w="13600" w:hAnchor="page" w:vAnchor="page" w:x="276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respectfully advises the Staff that the weighted-average discount rate as of December 31, 2022 was 4.89%. The weighted-average</w:t>
      </w:r>
    </w:p>
    <w:p>
      <w:pPr>
        <w:pStyle w:val="Normal"/>
        <w:framePr w:w="1179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11949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determining your weighted-average assumptions for each of Netherlands, France, Germany, United Kingdom and Canada.</w:t>
      </w:r>
    </w:p>
    <w:p>
      <w:pPr>
        <w:pStyle w:val="Normal"/>
        <w:framePr w:w="14310" w:hAnchor="page" w:vAnchor="page" w:x="276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compared to a discount rate of 1.99% in fiscal 2021. Please explain to us the reason for such increase and provide us with the discount rates used in</w:t>
      </w:r>
    </w:p>
    <w:p>
      <w:pPr>
        <w:pStyle w:val="Normal"/>
        <w:framePr w:w="14357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2.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We note that you used a weighted-average discount rate of 9.97% to determine the benefit obligation for international pension plans in fiscal 2022</w:t>
      </w:r>
    </w:p>
    <w:p>
      <w:pPr>
        <w:pStyle w:val="Normal"/>
        <w:framePr w:w="87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3</w:t>
      </w:r>
    </w:p>
    <w:p>
      <w:pPr>
        <w:pStyle w:val="Normal"/>
        <w:framePr w:w="200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November 6,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7pt;margin-top:1pt;z-index:-1677713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8pt;margin-top:1pt;z-index:-1677712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2.45pt;z-index:-167771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7.95pt;margin-top:1pt;z-index:-1677712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8pt;margin-top:1pt;z-index:-1677711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8pt;margin-top:46.1pt;z-index:-16777112;width:146.1pt;height:1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2.8pt;margin-top:129.75pt;z-index:-16777108;width:3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2.8pt;margin-top:560.1pt;z-index:-16777104;width:64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75.45pt;margin-top:560.1pt;z-index:-16777100;width:1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90.45pt;margin-top:560.1pt;z-index:-16777096;width:97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8pt;margin-top:571.7pt;z-index:-16777092;width:4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2.8pt;margin-top:583.25pt;z-index:-16777088;width:10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0.4pt;margin-top:583.25pt;z-index:-16777084;width:4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64.3pt;margin-top:583.25pt;z-index:-16777080;width:11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</w:p>
    <w:p>
      <w:pPr>
        <w:pStyle w:val="Normal"/>
        <w:framePr w:w="344" w:hAnchor="page" w:vAnchor="page" w:x="6130" w:y="143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2843" w:hAnchor="page" w:vAnchor="page" w:x="276" w:y="140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U.K. net deferred tax assets.</w:t>
      </w:r>
    </w:p>
    <w:p>
      <w:pPr>
        <w:pStyle w:val="Normal"/>
        <w:framePr w:w="14299" w:hAnchor="page" w:vAnchor="page" w:x="276" w:y="137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adjustment was zero, given that the UK entity had significant U.K. net operating loss carryforwards and established full valuation allowances against its</w:t>
      </w:r>
    </w:p>
    <w:p>
      <w:pPr>
        <w:pStyle w:val="Normal"/>
        <w:framePr w:w="13659" w:hAnchor="page" w:vAnchor="page" w:x="276" w:y="135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Gains and losses of the sales were recorded in a UK entity and treated as non-deductible permanent difference. The tax effects of this non-GAAP</w:t>
      </w:r>
    </w:p>
    <w:p>
      <w:pPr>
        <w:pStyle w:val="Normal"/>
        <w:framePr w:w="14273" w:hAnchor="page" w:vAnchor="page" w:x="276" w:y="133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mark-to-market valuation on the Company’s investment in Technip Energies and the gains and losses resulting from sale transactions of the investment.</w:t>
      </w:r>
    </w:p>
    <w:p>
      <w:pPr>
        <w:pStyle w:val="Normal"/>
        <w:framePr w:w="13195" w:hAnchor="page" w:vAnchor="page" w:x="276" w:y="130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Loss from investment in Technip Energies, as included in the Company’s 2022 Q4 Earnings Release, the charges reflect the net value of</w:t>
      </w:r>
    </w:p>
    <w:p>
      <w:pPr>
        <w:pStyle w:val="Normal"/>
        <w:framePr w:w="7640" w:hAnchor="page" w:vAnchor="page" w:x="276" w:y="126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assets, and as a result, there was no further tax effect of the Impairment charges.</w:t>
      </w:r>
    </w:p>
    <w:p>
      <w:pPr>
        <w:pStyle w:val="Normal"/>
        <w:framePr w:w="14234" w:hAnchor="page" w:vAnchor="page" w:x="276" w:y="123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Release”), the underlying non-GAAP adjustments relate to various jurisdictions with a full valuation allowance against their respective net deferred tax</w:t>
      </w:r>
    </w:p>
    <w:p>
      <w:pPr>
        <w:pStyle w:val="Normal"/>
        <w:framePr w:w="14365" w:hAnchor="page" w:vAnchor="page" w:x="276" w:y="121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Impairment charges, as included in the Company’s earnings release for the three months and year ended December 31, 2022 (the “2022 Q4 Earnings</w:t>
      </w:r>
    </w:p>
    <w:p>
      <w:pPr>
        <w:pStyle w:val="Normal"/>
        <w:framePr w:w="5924" w:hAnchor="page" w:vAnchor="page" w:x="276" w:y="116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difference and as such, did not trigger tax charges or benefits.</w:t>
      </w:r>
    </w:p>
    <w:p>
      <w:pPr>
        <w:pStyle w:val="Normal"/>
        <w:framePr w:w="13722" w:hAnchor="page" w:vAnchor="page" w:x="276" w:y="114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Form 10-Q for the three months ended June 30, 2023). For taxation purposes, the charges were treated as a penalty and non-deductible permanent</w:t>
      </w:r>
    </w:p>
    <w:p>
      <w:pPr>
        <w:pStyle w:val="Normal"/>
        <w:framePr w:w="13868" w:hAnchor="page" w:vAnchor="page" w:x="276" w:y="112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8-K earnings release, reflect the impact of the resolution of all outstanding matters with the PNF (see Note 13 of the Company’s quarterly report on</w:t>
      </w:r>
    </w:p>
    <w:p>
      <w:pPr>
        <w:pStyle w:val="Normal"/>
        <w:framePr w:w="14384" w:hAnchor="page" w:vAnchor="page" w:x="276" w:y="109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Non-recurring legal settlement charges, as included in the Company’s earnings release for the three months ended September 30, 2023 and the Form</w:t>
      </w:r>
    </w:p>
    <w:p>
      <w:pPr>
        <w:pStyle w:val="Normal"/>
        <w:framePr w:w="4301" w:hAnchor="page" w:vAnchor="page" w:x="276" w:y="105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 of such item is estimated accordingly.</w:t>
      </w:r>
    </w:p>
    <w:p>
      <w:pPr>
        <w:pStyle w:val="Normal"/>
        <w:framePr w:w="14008" w:hAnchor="page" w:vAnchor="page" w:x="276" w:y="102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which the item has been recorded requires application of a specific tax rate, tax treatment or valuation allowance consideration, in which case the tax</w:t>
      </w:r>
    </w:p>
    <w:p>
      <w:pPr>
        <w:pStyle w:val="Normal"/>
        <w:framePr w:w="13888" w:hAnchor="page" w:vAnchor="page" w:x="276" w:y="100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performed item by item, applying the relevant jurisdictional tax rate to the pretax amount, unless the nature of the item and/or the tax jurisdiction in</w:t>
      </w:r>
    </w:p>
    <w:p>
      <w:pPr>
        <w:pStyle w:val="Normal"/>
        <w:framePr w:w="13695" w:hAnchor="page" w:vAnchor="page" w:x="276" w:y="98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 and respectfully advises the Staff that estimation of tax effect of each non-GAAP adjustment is</w:t>
      </w:r>
    </w:p>
    <w:p>
      <w:pPr>
        <w:pStyle w:val="Normal"/>
        <w:framePr w:w="1179" w:hAnchor="page" w:vAnchor="page" w:x="276" w:y="93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2092" w:hAnchor="page" w:vAnchor="page" w:x="276" w:y="89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non-GAAP C&amp;DIs.</w:t>
      </w:r>
    </w:p>
    <w:p>
      <w:pPr>
        <w:pStyle w:val="Normal"/>
        <w:framePr w:w="14183" w:hAnchor="page" w:vAnchor="page" w:x="276" w:y="86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Form 8-K. Also revise your disclosures to explain how the tax effects of the non-GAAP adjustments are calculated. Refer to Question 102.11 of the</w:t>
      </w:r>
    </w:p>
    <w:p>
      <w:pPr>
        <w:pStyle w:val="Normal"/>
        <w:framePr w:w="14190" w:hAnchor="page" w:vAnchor="page" w:x="276" w:y="84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Form 8-K earnings release, or similarly, for impairment and other charges and loss from investment in Technip Energies in the February 23, 2023</w:t>
      </w:r>
    </w:p>
    <w:p>
      <w:pPr>
        <w:pStyle w:val="Normal"/>
        <w:framePr w:w="13910" w:hAnchor="page" w:vAnchor="page" w:x="276" w:y="82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to TechnipFMC plc. In your response, address why you have not included a tax adjustment for the non-recurring legal settlement charge in this</w:t>
      </w:r>
    </w:p>
    <w:p>
      <w:pPr>
        <w:pStyle w:val="Normal"/>
        <w:framePr w:w="14189" w:hAnchor="page" w:vAnchor="page" w:x="276" w:y="79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4. </w:t>
      </w: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Please explain how you determined the income tax effects on your measure of non-GAAP Income (loss) from continuing operations attributable</w:t>
      </w:r>
    </w:p>
    <w:p>
      <w:pPr>
        <w:pStyle w:val="Normal"/>
        <w:framePr w:w="3445" w:hAnchor="page" w:vAnchor="page" w:x="276" w:y="75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non-GAAP financial measures.</w:t>
      </w:r>
    </w:p>
    <w:p>
      <w:pPr>
        <w:pStyle w:val="Normal"/>
        <w:framePr w:w="14273" w:hAnchor="page" w:vAnchor="page" w:x="276" w:y="72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financial performance prepared in accordance with GAAP. The following is a reconciliation of the most comparable financial measures under GAAP to</w:t>
      </w:r>
    </w:p>
    <w:p>
      <w:pPr>
        <w:pStyle w:val="Normal"/>
        <w:framePr w:w="14120" w:hAnchor="page" w:vAnchor="page" w:x="276" w:y="70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foregoing non-GAAP financial measures should be considered by investors in addition to, not as a substitute for or superior to, other measures of</w:t>
      </w:r>
    </w:p>
    <w:p>
      <w:pPr>
        <w:pStyle w:val="Normal"/>
        <w:framePr w:w="14270" w:hAnchor="page" w:vAnchor="page" w:x="276" w:y="68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operations period-over-period. These measures are also used by management as performance measures in determining certain incentive compensation.</w:t>
      </w:r>
    </w:p>
    <w:p>
      <w:pPr>
        <w:pStyle w:val="Normal"/>
        <w:framePr w:w="13520" w:hAnchor="page" w:vAnchor="page" w:x="276" w:y="65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the Company’s underlying business results and operating trends, and a means to evaluate TechnipFMC’s operations and consolidated results of</w:t>
      </w:r>
    </w:p>
    <w:p>
      <w:pPr>
        <w:pStyle w:val="Normal"/>
        <w:framePr w:w="14370" w:hAnchor="page" w:vAnchor="page" w:x="276" w:y="63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Management believes that the exclusion of charges, credits and foreign exchange impacts from these financial measures provides a useful perspective on</w:t>
      </w:r>
    </w:p>
    <w:p>
      <w:pPr>
        <w:pStyle w:val="Normal"/>
        <w:framePr w:w="2314" w:hAnchor="page" w:vAnchor="page" w:x="276" w:y="578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estimated accordingly.</w:t>
      </w:r>
    </w:p>
    <w:p>
      <w:pPr>
        <w:pStyle w:val="Normal"/>
        <w:framePr w:w="13788" w:hAnchor="page" w:vAnchor="page" w:x="276" w:y="55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recorded requires application of a specific tax rate, tax treatment or valuation allowance consideration, in which case the tax effect of such item is</w:t>
      </w:r>
    </w:p>
    <w:p>
      <w:pPr>
        <w:pStyle w:val="Normal"/>
        <w:framePr w:w="13774" w:hAnchor="page" w:vAnchor="page" w:x="276" w:y="532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applying the relevant jurisdiction tax rate to the pretax amount, unless the nature of the item and/or the tax jurisdiction in which the item has been</w:t>
      </w:r>
    </w:p>
    <w:p>
      <w:pPr>
        <w:pStyle w:val="Normal"/>
        <w:framePr w:w="14112" w:hAnchor="page" w:vAnchor="page" w:x="276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Non-GAAP adjustments are presented on a gross basis and are not net of tax. Estimates of the tax effect of each adjustment is calculated item by item,</w:t>
      </w:r>
    </w:p>
    <w:p>
      <w:pPr>
        <w:pStyle w:val="Normal"/>
        <w:framePr w:w="13648" w:hAnchor="page" w:vAnchor="page" w:x="276" w:y="45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excluding charges and credits; Foreign exchange, net and other, excluding charges and credits; and net debt) are non-GAAP financial measures.</w:t>
      </w:r>
    </w:p>
    <w:p>
      <w:pPr>
        <w:pStyle w:val="Normal"/>
        <w:framePr w:w="13694" w:hAnchor="page" w:vAnchor="page" w:x="276" w:y="42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foreign exchange gains or losses, net; Adjusted EBITDA margin; Adjusted EBITDA margin, excluding foreign exchange, net; Corporate expense,</w:t>
      </w:r>
    </w:p>
    <w:p>
      <w:pPr>
        <w:pStyle w:val="Normal"/>
        <w:framePr w:w="14176" w:hAnchor="page" w:vAnchor="page" w:x="276" w:y="40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interest expense, income taxes, depreciation and amortization, excluding charges and credits (“Adjusted EBITDA”); and Adjusted EBITDA, excluding</w:t>
      </w:r>
    </w:p>
    <w:p>
      <w:pPr>
        <w:pStyle w:val="Normal"/>
        <w:framePr w:w="14273" w:hAnchor="page" w:vAnchor="page" w:x="276" w:y="381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taxes, excluding charges and credits (“Adjusted Operating profit”); Depreciation and amortization, excluding charges and credits; Earnings before net</w:t>
      </w:r>
    </w:p>
    <w:p>
      <w:pPr>
        <w:pStyle w:val="Normal"/>
        <w:framePr w:w="14244" w:hAnchor="page" w:vAnchor="page" w:x="27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charges and credits, as well as measures derived from it (including Diluted EPS, excluding charges and credits; Income before net interest expense and</w:t>
      </w:r>
    </w:p>
    <w:p>
      <w:pPr>
        <w:pStyle w:val="Normal"/>
        <w:framePr w:w="14011" w:hAnchor="page" w:vAnchor="page" w:x="27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describes performance on a year-over-year or sequential basis. Income (loss) from continuing operations attributable to TechnipFMC plc, excluding</w:t>
      </w:r>
    </w:p>
    <w:p>
      <w:pPr>
        <w:pStyle w:val="Normal"/>
        <w:framePr w:w="14226" w:hAnchor="page" w:vAnchor="page" w:x="276" w:y="31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Release also includes non-GAAP financial measures (as defined in Item 10 of Regulation S-K of the Securities Exchange Act of 1934, as amended) and</w:t>
      </w:r>
    </w:p>
    <w:p>
      <w:pPr>
        <w:pStyle w:val="Normal"/>
        <w:framePr w:w="14172" w:hAnchor="page" w:vAnchor="page" w:x="27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 addition to financial results determined in accordance with U.S. generally accepted accounting principles (GAAP), the third quarter 2023 Earnings</w:t>
      </w:r>
    </w:p>
    <w:p>
      <w:pPr>
        <w:pStyle w:val="Normal"/>
        <w:framePr w:w="5182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earnings releases and other investor communications:</w:t>
      </w:r>
    </w:p>
    <w:p>
      <w:pPr>
        <w:pStyle w:val="Normal"/>
        <w:framePr w:w="14338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months ended September 30, 2023. The revised language is also set forth below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(in italics and underlined)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will be included in the Company’s future</w:t>
      </w:r>
    </w:p>
    <w:p>
      <w:pPr>
        <w:pStyle w:val="Normal"/>
        <w:framePr w:w="13773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acknowledges the Staff’s comment and has removed the reference to “masked or misleading” from its earnings release for the three</w:t>
      </w:r>
    </w:p>
    <w:p>
      <w:pPr>
        <w:pStyle w:val="Normal"/>
        <w:framePr w:w="1179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Response:</w:t>
      </w:r>
    </w:p>
    <w:p>
      <w:pPr>
        <w:pStyle w:val="Normal"/>
        <w:framePr w:w="87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4</w:t>
      </w:r>
    </w:p>
    <w:p>
      <w:pPr>
        <w:pStyle w:val="Normal"/>
        <w:framePr w:w="200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November 6,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7pt;margin-top:1pt;z-index:-16777076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.8pt;margin-top:1pt;z-index:-1677707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2.45pt;z-index:-1677706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597.95pt;margin-top:1pt;z-index:-1677706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2.8pt;margin-top:1pt;z-index:-1677706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.8pt;margin-top:46.1pt;z-index:-16777056;width:146.1pt;height:1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2.8pt;margin-top:77.65pt;z-index:-16777052;width:3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.8pt;margin-top:262.85pt;z-index:-16777048;width:4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56.7pt;margin-top:262.85pt;z-index:-16777044;width:53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2.8pt;margin-top:274.4pt;z-index:-16777040;width:56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286pt;z-index:-16777036;width:56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2.8pt;margin-top:297.55pt;z-index:-16777032;width:8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2.8pt;margin-top:326.5pt;z-index:-16777028;width:591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12.8pt;margin-top:338.05pt;z-index:-16777024;width:555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2.8pt;margin-top:349.65pt;z-index:-16777020;width:12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.8pt;margin-top:476.95pt;z-index:-16777016;width:3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</w:p>
    <w:p>
      <w:pPr>
        <w:pStyle w:val="Normal"/>
        <w:framePr w:w="344" w:hAnchor="page" w:vAnchor="page" w:x="6130" w:y="145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7486" w:hAnchor="page" w:vAnchor="page" w:x="748" w:y="141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Cristina Aalders, Executive Vice President, Chief Legal Officer, and Secretary</w:t>
      </w:r>
    </w:p>
    <w:p>
      <w:pPr>
        <w:pStyle w:val="Normal"/>
        <w:framePr w:w="8119" w:hAnchor="page" w:vAnchor="page" w:x="748" w:y="139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Krisztina Doroghazi, Senior Vice President, Controller and Chief Accounting Officer</w:t>
      </w:r>
    </w:p>
    <w:p>
      <w:pPr>
        <w:pStyle w:val="Normal"/>
        <w:framePr w:w="6747" w:hAnchor="page" w:vAnchor="page" w:x="276" w:y="13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Cc:    Alf Melin, Executive Vice President and Chief Financial Officer</w:t>
      </w:r>
    </w:p>
    <w:p>
      <w:pPr>
        <w:pStyle w:val="Normal"/>
        <w:framePr w:w="3223" w:hAnchor="page" w:vAnchor="page" w:x="7364" w:y="13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LATHAM &amp; WATKINS LLP</w:t>
      </w:r>
    </w:p>
    <w:p>
      <w:pPr>
        <w:pStyle w:val="Normal"/>
        <w:framePr w:w="1938" w:hAnchor="page" w:vAnchor="page" w:x="7364" w:y="12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Julia A Thompson</w:t>
      </w:r>
    </w:p>
    <w:p>
      <w:pPr>
        <w:pStyle w:val="Normal"/>
        <w:framePr w:w="2214" w:hAnchor="page" w:vAnchor="page" w:x="7364" w:y="125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Julia A Thompson</w:t>
      </w:r>
    </w:p>
    <w:p>
      <w:pPr>
        <w:pStyle w:val="Normal"/>
        <w:framePr w:w="1145" w:hAnchor="page" w:vAnchor="page" w:x="7364" w:y="121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Sincerely,</w:t>
      </w:r>
    </w:p>
    <w:p>
      <w:pPr>
        <w:pStyle w:val="Normal"/>
        <w:framePr w:w="4681" w:hAnchor="page" w:vAnchor="page" w:x="276" w:y="1164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telephone the undersigned at (202) 637-1073.</w:t>
      </w:r>
    </w:p>
    <w:p>
      <w:pPr>
        <w:pStyle w:val="Normal"/>
        <w:framePr w:w="14199" w:hAnchor="page" w:vAnchor="page" w:x="276" w:y="114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We appreciate the Staff’s time and attention to this matter. If you have any questions or comments or require further information, please do not hesitate</w:t>
      </w:r>
    </w:p>
    <w:p>
      <w:pPr>
        <w:pStyle w:val="Normal"/>
        <w:framePr w:w="2137" w:hAnchor="page" w:vAnchor="page" w:x="5382" w:y="109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        *        *         *</w:t>
      </w:r>
    </w:p>
    <w:p>
      <w:pPr>
        <w:pStyle w:val="Normal"/>
        <w:framePr w:w="21" w:hAnchor="page" w:vAnchor="page" w:x="5368" w:y="107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6684" w:y="107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21" w:hAnchor="page" w:vAnchor="page" w:x="10706" w:y="1070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757" w:hAnchor="page" w:vAnchor="page" w:x="276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Adjusted earnings per share - diluted</w:t>
      </w:r>
    </w:p>
    <w:p>
      <w:pPr>
        <w:pStyle w:val="Normal"/>
        <w:framePr w:w="21" w:hAnchor="page" w:vAnchor="page" w:x="5368" w:y="104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6289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0.21</w:t>
      </w:r>
    </w:p>
    <w:p>
      <w:pPr>
        <w:pStyle w:val="Normal"/>
        <w:framePr w:w="21" w:hAnchor="page" w:vAnchor="page" w:x="6684" w:y="104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7591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0.10</w:t>
      </w:r>
    </w:p>
    <w:p>
      <w:pPr>
        <w:pStyle w:val="Normal"/>
        <w:framePr w:w="633" w:hAnchor="page" w:vAnchor="page" w:x="8951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0.03</w:t>
      </w:r>
    </w:p>
    <w:p>
      <w:pPr>
        <w:pStyle w:val="Normal"/>
        <w:framePr w:w="633" w:hAnchor="page" w:vAnchor="page" w:x="10311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0.31</w:t>
      </w:r>
    </w:p>
    <w:p>
      <w:pPr>
        <w:pStyle w:val="Normal"/>
        <w:framePr w:w="21" w:hAnchor="page" w:vAnchor="page" w:x="10706" w:y="10414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11627" w:y="1042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0.02</w:t>
      </w:r>
    </w:p>
    <w:p>
      <w:pPr>
        <w:pStyle w:val="Normal"/>
        <w:framePr w:w="4354" w:hAnchor="page" w:vAnchor="page" w:x="276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Reported earnings (loss) per share - diluted</w:t>
      </w:r>
    </w:p>
    <w:p>
      <w:pPr>
        <w:pStyle w:val="Normal"/>
        <w:framePr w:w="344" w:hAnchor="page" w:vAnchor="page" w:x="5368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8" w:hAnchor="page" w:vAnchor="page" w:x="6289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0.20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5" w:hAnchor="page" w:vAnchor="page" w:x="7527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(0.20) </w:t>
      </w:r>
    </w:p>
    <w:p>
      <w:pPr>
        <w:pStyle w:val="Normal"/>
        <w:framePr w:w="691" w:hAnchor="page" w:vAnchor="page" w:x="8951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0.01 </w:t>
      </w:r>
    </w:p>
    <w:p>
      <w:pPr>
        <w:pStyle w:val="Normal"/>
        <w:framePr w:w="818" w:hAnchor="page" w:vAnchor="page" w:x="10311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0.01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5" w:hAnchor="page" w:vAnchor="page" w:x="11563" w:y="10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(0.08) </w:t>
      </w:r>
    </w:p>
    <w:p>
      <w:pPr>
        <w:pStyle w:val="Normal"/>
        <w:framePr w:w="4388" w:hAnchor="page" w:vAnchor="page" w:x="276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Weighted diluted average shares outstanding</w:t>
      </w:r>
    </w:p>
    <w:p>
      <w:pPr>
        <w:pStyle w:val="Normal"/>
        <w:framePr w:w="21" w:hAnchor="page" w:vAnchor="page" w:x="5368" w:y="992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6193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450.3</w:t>
      </w:r>
    </w:p>
    <w:p>
      <w:pPr>
        <w:pStyle w:val="Normal"/>
        <w:framePr w:w="21" w:hAnchor="page" w:vAnchor="page" w:x="6684" w:y="992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7494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440.1</w:t>
      </w:r>
    </w:p>
    <w:p>
      <w:pPr>
        <w:pStyle w:val="Normal"/>
        <w:framePr w:w="749" w:hAnchor="page" w:vAnchor="page" w:x="8854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458.1</w:t>
      </w:r>
    </w:p>
    <w:p>
      <w:pPr>
        <w:pStyle w:val="Normal"/>
        <w:framePr w:w="749" w:hAnchor="page" w:vAnchor="page" w:x="10214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452.9</w:t>
      </w:r>
    </w:p>
    <w:p>
      <w:pPr>
        <w:pStyle w:val="Normal"/>
        <w:framePr w:w="21" w:hAnchor="page" w:vAnchor="page" w:x="10706" w:y="9922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749" w:hAnchor="page" w:vAnchor="page" w:x="11531" w:y="9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451.1</w:t>
      </w:r>
    </w:p>
    <w:p>
      <w:pPr>
        <w:pStyle w:val="Normal"/>
        <w:framePr w:w="5171" w:hAnchor="page" w:vAnchor="page" w:x="276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Adjusted EBITDA, excluding foreign exchange, net</w:t>
      </w:r>
    </w:p>
    <w:p>
      <w:pPr>
        <w:pStyle w:val="Normal"/>
        <w:framePr w:w="21" w:hAnchor="page" w:vAnchor="page" w:x="5368" w:y="963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5715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49" w:hAnchor="page" w:vAnchor="page" w:x="6193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283.9</w:t>
      </w:r>
    </w:p>
    <w:p>
      <w:pPr>
        <w:pStyle w:val="Normal"/>
        <w:framePr w:w="21" w:hAnchor="page" w:vAnchor="page" w:x="6684" w:y="963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7031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49" w:hAnchor="page" w:vAnchor="page" w:x="7494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254.2</w:t>
      </w:r>
    </w:p>
    <w:p>
      <w:pPr>
        <w:pStyle w:val="Normal"/>
        <w:framePr w:w="344" w:hAnchor="page" w:vAnchor="page" w:x="8377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49" w:hAnchor="page" w:vAnchor="page" w:x="8854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200.1</w:t>
      </w:r>
    </w:p>
    <w:p>
      <w:pPr>
        <w:pStyle w:val="Normal"/>
        <w:framePr w:w="344" w:hAnchor="page" w:vAnchor="page" w:x="9737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49" w:hAnchor="page" w:vAnchor="page" w:x="10214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693.5</w:t>
      </w:r>
    </w:p>
    <w:p>
      <w:pPr>
        <w:pStyle w:val="Normal"/>
        <w:framePr w:w="21" w:hAnchor="page" w:vAnchor="page" w:x="10706" w:y="963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344" w:hAnchor="page" w:vAnchor="page" w:x="11053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49" w:hAnchor="page" w:vAnchor="page" w:x="11531" w:y="96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512.5</w:t>
      </w:r>
    </w:p>
    <w:p>
      <w:pPr>
        <w:pStyle w:val="Normal"/>
        <w:framePr w:w="2294" w:hAnchor="page" w:vAnchor="page" w:x="662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Foreign exchange, net</w:t>
      </w:r>
    </w:p>
    <w:p>
      <w:pPr>
        <w:pStyle w:val="Normal"/>
        <w:framePr w:w="344" w:hAnchor="page" w:vAnchor="page" w:x="5368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8" w:hAnchor="page" w:vAnchor="page" w:x="6289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46.4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591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48.3 </w:t>
      </w:r>
    </w:p>
    <w:p>
      <w:pPr>
        <w:pStyle w:val="Normal"/>
        <w:framePr w:w="691" w:hAnchor="page" w:vAnchor="page" w:x="8951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14.5 </w:t>
      </w:r>
    </w:p>
    <w:p>
      <w:pPr>
        <w:pStyle w:val="Normal"/>
        <w:framePr w:w="818" w:hAnchor="page" w:vAnchor="page" w:x="10311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92.6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45" w:hAnchor="page" w:vAnchor="page" w:x="11563" w:y="9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(13.1) </w:t>
      </w:r>
    </w:p>
    <w:p>
      <w:pPr>
        <w:pStyle w:val="Normal"/>
        <w:framePr w:w="1983" w:hAnchor="page" w:vAnchor="page" w:x="276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Adjusted EBITDA</w:t>
      </w:r>
    </w:p>
    <w:p>
      <w:pPr>
        <w:pStyle w:val="Normal"/>
        <w:framePr w:w="344" w:hAnchor="page" w:vAnchor="page" w:x="5368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6193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237.5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494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205.9 </w:t>
      </w:r>
    </w:p>
    <w:p>
      <w:pPr>
        <w:pStyle w:val="Normal"/>
        <w:framePr w:w="806" w:hAnchor="page" w:vAnchor="page" w:x="8854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185.6 </w:t>
      </w:r>
    </w:p>
    <w:p>
      <w:pPr>
        <w:pStyle w:val="Normal"/>
        <w:framePr w:w="934" w:hAnchor="page" w:vAnchor="page" w:x="10214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600.9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11531" w:y="91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525.6 </w:t>
      </w:r>
    </w:p>
    <w:p>
      <w:pPr>
        <w:pStyle w:val="Normal"/>
        <w:framePr w:w="3086" w:hAnchor="page" w:vAnchor="page" w:x="276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Depreciation and amortization</w:t>
      </w:r>
    </w:p>
    <w:p>
      <w:pPr>
        <w:pStyle w:val="Normal"/>
        <w:framePr w:w="344" w:hAnchor="page" w:vAnchor="page" w:x="5368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8" w:hAnchor="page" w:vAnchor="page" w:x="6289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93.3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591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97.0 </w:t>
      </w:r>
    </w:p>
    <w:p>
      <w:pPr>
        <w:pStyle w:val="Normal"/>
        <w:framePr w:w="691" w:hAnchor="page" w:vAnchor="page" w:x="8951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94.5 </w:t>
      </w:r>
    </w:p>
    <w:p>
      <w:pPr>
        <w:pStyle w:val="Normal"/>
        <w:framePr w:w="934" w:hAnchor="page" w:vAnchor="page" w:x="10214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283.3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11531" w:y="8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284.4 </w:t>
      </w:r>
    </w:p>
    <w:p>
      <w:pPr>
        <w:pStyle w:val="Normal"/>
        <w:framePr w:w="2670" w:hAnchor="page" w:vAnchor="page" w:x="276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Adjusted Operating profit</w:t>
      </w:r>
    </w:p>
    <w:p>
      <w:pPr>
        <w:pStyle w:val="Normal"/>
        <w:framePr w:w="344" w:hAnchor="page" w:vAnchor="page" w:x="5368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934" w:hAnchor="page" w:vAnchor="page" w:x="6193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144.2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494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108.9 </w:t>
      </w:r>
    </w:p>
    <w:p>
      <w:pPr>
        <w:pStyle w:val="Normal"/>
        <w:framePr w:w="691" w:hAnchor="page" w:vAnchor="page" w:x="8951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91.1 </w:t>
      </w:r>
    </w:p>
    <w:p>
      <w:pPr>
        <w:pStyle w:val="Normal"/>
        <w:framePr w:w="934" w:hAnchor="page" w:vAnchor="page" w:x="10214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317.6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11531" w:y="86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241.2 </w:t>
      </w:r>
    </w:p>
    <w:p>
      <w:pPr>
        <w:pStyle w:val="Normal"/>
        <w:framePr w:w="2083" w:hAnchor="page" w:vAnchor="page" w:x="662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Net interest expense</w:t>
      </w:r>
    </w:p>
    <w:p>
      <w:pPr>
        <w:pStyle w:val="Normal"/>
        <w:framePr w:w="344" w:hAnchor="page" w:vAnchor="page" w:x="5368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8" w:hAnchor="page" w:vAnchor="page" w:x="6289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26.7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591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30.3 </w:t>
      </w:r>
    </w:p>
    <w:p>
      <w:pPr>
        <w:pStyle w:val="Normal"/>
        <w:framePr w:w="691" w:hAnchor="page" w:vAnchor="page" w:x="8951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30.9 </w:t>
      </w:r>
    </w:p>
    <w:p>
      <w:pPr>
        <w:pStyle w:val="Normal"/>
        <w:framePr w:w="818" w:hAnchor="page" w:vAnchor="page" w:x="10311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75.7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11531" w:y="8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122.3 </w:t>
      </w:r>
    </w:p>
    <w:p>
      <w:pPr>
        <w:pStyle w:val="Normal"/>
        <w:framePr w:w="2513" w:hAnchor="page" w:vAnchor="page" w:x="662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Provision for income tax</w:t>
      </w:r>
    </w:p>
    <w:p>
      <w:pPr>
        <w:pStyle w:val="Normal"/>
        <w:framePr w:w="344" w:hAnchor="page" w:vAnchor="page" w:x="5368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18" w:hAnchor="page" w:vAnchor="page" w:x="6289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19.5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7591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43.3 </w:t>
      </w:r>
    </w:p>
    <w:p>
      <w:pPr>
        <w:pStyle w:val="Normal"/>
        <w:framePr w:w="691" w:hAnchor="page" w:vAnchor="page" w:x="8951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42.7 </w:t>
      </w:r>
    </w:p>
    <w:p>
      <w:pPr>
        <w:pStyle w:val="Normal"/>
        <w:framePr w:w="934" w:hAnchor="page" w:vAnchor="page" w:x="10214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100.2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11627" w:y="8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91.0 </w:t>
      </w:r>
    </w:p>
    <w:p>
      <w:pPr>
        <w:pStyle w:val="Normal"/>
        <w:framePr w:w="5204" w:hAnchor="page" w:vAnchor="page" w:x="276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Income (loss) attributable to non-controlling interests</w:t>
      </w:r>
    </w:p>
    <w:p>
      <w:pPr>
        <w:pStyle w:val="Normal"/>
        <w:framePr w:w="21" w:hAnchor="page" w:vAnchor="page" w:x="5368" w:y="798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17" w:hAnchor="page" w:vAnchor="page" w:x="6385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3.7</w:t>
      </w:r>
    </w:p>
    <w:p>
      <w:pPr>
        <w:pStyle w:val="Normal"/>
        <w:framePr w:w="21" w:hAnchor="page" w:vAnchor="page" w:x="6684" w:y="798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71" w:hAnchor="page" w:vAnchor="page" w:x="7623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(9.1)</w:t>
      </w:r>
    </w:p>
    <w:p>
      <w:pPr>
        <w:pStyle w:val="Normal"/>
        <w:framePr w:w="517" w:hAnchor="page" w:vAnchor="page" w:x="9047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5.7</w:t>
      </w:r>
    </w:p>
    <w:p>
      <w:pPr>
        <w:pStyle w:val="Normal"/>
        <w:framePr w:w="517" w:hAnchor="page" w:vAnchor="page" w:x="10407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2.0</w:t>
      </w:r>
    </w:p>
    <w:p>
      <w:pPr>
        <w:pStyle w:val="Normal"/>
        <w:framePr w:w="21" w:hAnchor="page" w:vAnchor="page" w:x="10706" w:y="798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11627" w:y="79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19.4</w:t>
      </w:r>
    </w:p>
    <w:p>
      <w:pPr>
        <w:pStyle w:val="Normal"/>
        <w:framePr w:w="5818" w:hAnchor="page" w:vAnchor="page" w:x="276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9"/>
          <w:szCs w:val="19"/>
        </w:rPr>
        <w:t>Adjusted net income (loss) attributable to TechnipFMC plc</w:t>
      </w:r>
    </w:p>
    <w:p>
      <w:pPr>
        <w:pStyle w:val="Normal"/>
        <w:framePr w:w="21" w:hAnchor="page" w:vAnchor="page" w:x="5368" w:y="772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6289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94.3</w:t>
      </w:r>
    </w:p>
    <w:p>
      <w:pPr>
        <w:pStyle w:val="Normal"/>
        <w:framePr w:w="21" w:hAnchor="page" w:vAnchor="page" w:x="6684" w:y="772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633" w:hAnchor="page" w:vAnchor="page" w:x="7591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44.4</w:t>
      </w:r>
    </w:p>
    <w:p>
      <w:pPr>
        <w:pStyle w:val="Normal"/>
        <w:framePr w:w="633" w:hAnchor="page" w:vAnchor="page" w:x="8965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11.8</w:t>
      </w:r>
    </w:p>
    <w:p>
      <w:pPr>
        <w:pStyle w:val="Normal"/>
        <w:framePr w:w="749" w:hAnchor="page" w:vAnchor="page" w:x="10214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139.7</w:t>
      </w:r>
    </w:p>
    <w:p>
      <w:pPr>
        <w:pStyle w:val="Normal"/>
        <w:framePr w:w="21" w:hAnchor="page" w:vAnchor="page" w:x="10706" w:y="7723"/>
        <w:widowControl w:val="off"/>
        <w:autoSpaceDE w:val="off"/>
        <w:autoSpaceDN w:val="off"/>
        <w:spacing w:before="0" w:after="0" w:line="16" w:lineRule="at-leas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"/>
          <w:szCs w:val="1"/>
        </w:rPr>
        <w:t xml:space="preserve">  </w:t>
      </w:r>
    </w:p>
    <w:p>
      <w:pPr>
        <w:pStyle w:val="Normal"/>
        <w:framePr w:w="517" w:hAnchor="page" w:vAnchor="page" w:x="11723" w:y="77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8.5</w:t>
      </w:r>
    </w:p>
    <w:p>
      <w:pPr>
        <w:pStyle w:val="Normal"/>
        <w:framePr w:w="2863" w:hAnchor="page" w:vAnchor="page" w:x="662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Tax on charges and (credits)</w:t>
      </w:r>
    </w:p>
    <w:p>
      <w:pPr>
        <w:pStyle w:val="Normal"/>
        <w:framePr w:w="344" w:hAnchor="page" w:vAnchor="page" w:x="5368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2" w:hAnchor="page" w:vAnchor="page" w:x="6385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0.6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7687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0.4 </w:t>
      </w:r>
    </w:p>
    <w:p>
      <w:pPr>
        <w:pStyle w:val="Normal"/>
        <w:framePr w:w="729" w:hAnchor="page" w:vAnchor="page" w:x="8983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(0.9) </w:t>
      </w:r>
    </w:p>
    <w:p>
      <w:pPr>
        <w:pStyle w:val="Normal"/>
        <w:framePr w:w="702" w:hAnchor="page" w:vAnchor="page" w:x="10407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1.0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11723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0.4 </w:t>
      </w:r>
    </w:p>
    <w:p>
      <w:pPr>
        <w:pStyle w:val="Normal"/>
        <w:framePr w:w="4078" w:hAnchor="page" w:vAnchor="page" w:x="662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Loss from investment in Technip Energies</w:t>
      </w:r>
    </w:p>
    <w:p>
      <w:pPr>
        <w:pStyle w:val="Normal"/>
        <w:framePr w:w="344" w:hAnchor="page" w:vAnchor="page" w:x="5368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4" w:hAnchor="page" w:vAnchor="page" w:x="6359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07" w:hAnchor="page" w:vAnchor="page" w:x="7661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607" w:hAnchor="page" w:vAnchor="page" w:x="9020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734" w:hAnchor="page" w:vAnchor="page" w:x="10380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11627" w:y="72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27.7 </w:t>
      </w:r>
    </w:p>
    <w:p>
      <w:pPr>
        <w:pStyle w:val="Normal"/>
        <w:framePr w:w="3848" w:hAnchor="page" w:vAnchor="page" w:x="662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Non recurring legal settlement charges</w:t>
      </w:r>
    </w:p>
    <w:p>
      <w:pPr>
        <w:pStyle w:val="Normal"/>
        <w:framePr w:w="344" w:hAnchor="page" w:vAnchor="page" w:x="5368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34" w:hAnchor="page" w:vAnchor="page" w:x="6359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06" w:hAnchor="page" w:vAnchor="page" w:x="7494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126.5 </w:t>
      </w:r>
    </w:p>
    <w:p>
      <w:pPr>
        <w:pStyle w:val="Normal"/>
        <w:framePr w:w="607" w:hAnchor="page" w:vAnchor="page" w:x="9020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934" w:hAnchor="page" w:vAnchor="page" w:x="10214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126.5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07" w:hAnchor="page" w:vAnchor="page" w:x="11697" w:y="70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3233" w:hAnchor="page" w:vAnchor="page" w:x="662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Restructuring and other charges</w:t>
      </w:r>
    </w:p>
    <w:p>
      <w:pPr>
        <w:pStyle w:val="Normal"/>
        <w:framePr w:w="344" w:hAnchor="page" w:vAnchor="page" w:x="5368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2" w:hAnchor="page" w:vAnchor="page" w:x="6385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1.7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7687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4.7 </w:t>
      </w:r>
    </w:p>
    <w:p>
      <w:pPr>
        <w:pStyle w:val="Normal"/>
        <w:framePr w:w="575" w:hAnchor="page" w:vAnchor="page" w:x="9047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4.1 </w:t>
      </w:r>
    </w:p>
    <w:p>
      <w:pPr>
        <w:pStyle w:val="Normal"/>
        <w:framePr w:w="702" w:hAnchor="page" w:vAnchor="page" w:x="10407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7.0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91" w:hAnchor="page" w:vAnchor="page" w:x="11627" w:y="67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10.9 </w:t>
      </w:r>
    </w:p>
    <w:p>
      <w:pPr>
        <w:pStyle w:val="Normal"/>
        <w:framePr w:w="1308" w:hAnchor="page" w:vAnchor="page" w:x="662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Impairment</w:t>
      </w:r>
    </w:p>
    <w:p>
      <w:pPr>
        <w:pStyle w:val="Normal"/>
        <w:framePr w:w="344" w:hAnchor="page" w:vAnchor="page" w:x="5368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702" w:hAnchor="page" w:vAnchor="page" w:x="6385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2.0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607" w:hAnchor="page" w:vAnchor="page" w:x="7661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—   </w:t>
      </w:r>
    </w:p>
    <w:p>
      <w:pPr>
        <w:pStyle w:val="Normal"/>
        <w:framePr w:w="575" w:hAnchor="page" w:vAnchor="page" w:x="9047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3.6 </w:t>
      </w:r>
    </w:p>
    <w:p>
      <w:pPr>
        <w:pStyle w:val="Normal"/>
        <w:framePr w:w="702" w:hAnchor="page" w:vAnchor="page" w:x="10407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2.0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575" w:hAnchor="page" w:vAnchor="page" w:x="11723" w:y="65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4.7 </w:t>
      </w:r>
    </w:p>
    <w:p>
      <w:pPr>
        <w:pStyle w:val="Normal"/>
        <w:framePr w:w="2319" w:hAnchor="page" w:vAnchor="page" w:x="276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Charges and (credits):</w:t>
      </w:r>
    </w:p>
    <w:p>
      <w:pPr>
        <w:pStyle w:val="Normal"/>
        <w:framePr w:w="344" w:hAnchor="page" w:vAnchor="page" w:x="5368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6684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0706" w:y="63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4846" w:hAnchor="page" w:vAnchor="page" w:x="276" w:y="60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Net income (loss) attributable to TechnipFMC plc</w:t>
      </w:r>
    </w:p>
    <w:p>
      <w:pPr>
        <w:pStyle w:val="Normal"/>
        <w:framePr w:w="344" w:hAnchor="page" w:vAnchor="page" w:x="5368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5715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818" w:hAnchor="page" w:vAnchor="page" w:x="6289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90.0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7031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845" w:hAnchor="page" w:vAnchor="page" w:x="7527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(87.2) </w:t>
      </w:r>
    </w:p>
    <w:p>
      <w:pPr>
        <w:pStyle w:val="Normal"/>
        <w:framePr w:w="344" w:hAnchor="page" w:vAnchor="page" w:x="8377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575" w:hAnchor="page" w:vAnchor="page" w:x="9047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5.0 </w:t>
      </w:r>
    </w:p>
    <w:p>
      <w:pPr>
        <w:pStyle w:val="Normal"/>
        <w:framePr w:w="344" w:hAnchor="page" w:vAnchor="page" w:x="9737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702" w:hAnchor="page" w:vAnchor="page" w:x="10407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3.2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11053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$</w:t>
      </w:r>
    </w:p>
    <w:p>
      <w:pPr>
        <w:pStyle w:val="Normal"/>
        <w:framePr w:w="845" w:hAnchor="page" w:vAnchor="page" w:x="11563" w:y="608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(35.2) </w:t>
      </w:r>
    </w:p>
    <w:p>
      <w:pPr>
        <w:pStyle w:val="Normal"/>
        <w:framePr w:w="273" w:hAnchor="page" w:vAnchor="page" w:x="5368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6016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2023</w:t>
      </w:r>
    </w:p>
    <w:p>
      <w:pPr>
        <w:pStyle w:val="Normal"/>
        <w:framePr w:w="273" w:hAnchor="page" w:vAnchor="page" w:x="6684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254" w:hAnchor="page" w:vAnchor="page" w:x="7032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June 30, 2023</w:t>
      </w:r>
    </w:p>
    <w:p>
      <w:pPr>
        <w:pStyle w:val="Normal"/>
        <w:framePr w:w="550" w:hAnchor="page" w:vAnchor="page" w:x="8678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2022</w:t>
      </w:r>
    </w:p>
    <w:p>
      <w:pPr>
        <w:pStyle w:val="Normal"/>
        <w:framePr w:w="550" w:hAnchor="page" w:vAnchor="page" w:x="10038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2023</w:t>
      </w:r>
    </w:p>
    <w:p>
      <w:pPr>
        <w:pStyle w:val="Normal"/>
        <w:framePr w:w="273" w:hAnchor="page" w:vAnchor="page" w:x="10706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550" w:hAnchor="page" w:vAnchor="page" w:x="11354" w:y="590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2022</w:t>
      </w:r>
    </w:p>
    <w:p>
      <w:pPr>
        <w:pStyle w:val="Normal"/>
        <w:framePr w:w="1259" w:hAnchor="page" w:vAnchor="page" w:x="5721" w:y="57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September 30,</w:t>
      </w:r>
    </w:p>
    <w:p>
      <w:pPr>
        <w:pStyle w:val="Normal"/>
        <w:framePr w:w="1259" w:hAnchor="page" w:vAnchor="page" w:x="8383" w:y="57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September 30,</w:t>
      </w:r>
    </w:p>
    <w:p>
      <w:pPr>
        <w:pStyle w:val="Normal"/>
        <w:framePr w:w="1259" w:hAnchor="page" w:vAnchor="page" w:x="9743" w:y="57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September 30,</w:t>
      </w:r>
    </w:p>
    <w:p>
      <w:pPr>
        <w:pStyle w:val="Normal"/>
        <w:framePr w:w="1259" w:hAnchor="page" w:vAnchor="page" w:x="11059" w:y="574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September 30,</w:t>
      </w:r>
    </w:p>
    <w:p>
      <w:pPr>
        <w:pStyle w:val="Normal"/>
        <w:framePr w:w="273" w:hAnchor="page" w:vAnchor="page" w:x="5368" w:y="557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742" w:hAnchor="page" w:vAnchor="page" w:x="6851" w:y="557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Three months ended</w:t>
      </w:r>
    </w:p>
    <w:p>
      <w:pPr>
        <w:pStyle w:val="Normal"/>
        <w:framePr w:w="1660" w:hAnchor="page" w:vAnchor="page" w:x="10234" w:y="557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15"/>
          <w:szCs w:val="15"/>
        </w:rPr>
        <w:t>Nine months ended</w:t>
      </w:r>
    </w:p>
    <w:p>
      <w:pPr>
        <w:pStyle w:val="Normal"/>
        <w:framePr w:w="8086" w:hAnchor="page" w:vAnchor="page" w:x="276" w:y="50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 in the Company’s earnings release for the three months ended September 30, 2023.</w:t>
      </w:r>
    </w:p>
    <w:p>
      <w:pPr>
        <w:pStyle w:val="Normal"/>
        <w:framePr w:w="14287" w:hAnchor="page" w:vAnchor="page" w:x="276" w:y="48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following 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(in italics)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 an example of the Company’s intended disclosure based on the illustrative revision of its actual disclosure of Exhibits 6 and</w:t>
      </w:r>
    </w:p>
    <w:p>
      <w:pPr>
        <w:pStyle w:val="Normal"/>
        <w:framePr w:w="10271" w:hAnchor="page" w:vAnchor="page" w:x="276" w:y="439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Exhibits 6 and 7, to provide additional clarity with respect to the tax impact of non-GAAP adjustment items.</w:t>
      </w:r>
    </w:p>
    <w:p>
      <w:pPr>
        <w:pStyle w:val="Normal"/>
        <w:framePr w:w="13868" w:hAnchor="page" w:vAnchor="page" w:x="276" w:y="416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consolidated Adjusted EBITDA, which are currently set forth in the Company’s earnings release for the three months ended September 30, 2023 as</w:t>
      </w:r>
    </w:p>
    <w:p>
      <w:pPr>
        <w:pStyle w:val="Normal"/>
        <w:framePr w:w="13408" w:hAnchor="page" w:vAnchor="page" w:x="276" w:y="393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further advises the Staff that in the Company’s future earnings releases, the Company will revise the reconciliation tables for its</w:t>
      </w:r>
    </w:p>
    <w:p>
      <w:pPr>
        <w:pStyle w:val="Normal"/>
        <w:framePr w:w="2314" w:hAnchor="page" w:vAnchor="page" w:x="276" w:y="34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estimated accordingly.</w:t>
      </w:r>
    </w:p>
    <w:p>
      <w:pPr>
        <w:pStyle w:val="Normal"/>
        <w:framePr w:w="13788" w:hAnchor="page" w:vAnchor="page" w:x="276" w:y="32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recorded requires application of a specific tax rate, tax treatment or valuation allowance consideration, in which case the tax effect of such item is</w:t>
      </w:r>
    </w:p>
    <w:p>
      <w:pPr>
        <w:pStyle w:val="Normal"/>
        <w:framePr w:w="13774" w:hAnchor="page" w:vAnchor="page" w:x="276" w:y="30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applying the relevant jurisdiction tax rate to the pretax amount, unless the nature of the item and/or the tax jurisdiction in which the item has been</w:t>
      </w:r>
    </w:p>
    <w:p>
      <w:pPr>
        <w:pStyle w:val="Normal"/>
        <w:framePr w:w="14112" w:hAnchor="page" w:vAnchor="page" w:x="276" w:y="277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Non-GAAP adjustments are presented on a gross basis and are not net of tax. Estimates of the tax effect of each adjustment is calculated item by item,</w:t>
      </w:r>
    </w:p>
    <w:p>
      <w:pPr>
        <w:pStyle w:val="Normal"/>
        <w:framePr w:w="2972" w:hAnchor="page" w:vAnchor="page" w:x="276" w:y="231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non-GAAP adjustment items.</w:t>
      </w:r>
    </w:p>
    <w:p>
      <w:pPr>
        <w:pStyle w:val="Normal"/>
        <w:framePr w:w="14079" w:hAnchor="page" w:vAnchor="page" w:x="276" w:y="208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 Energies, which are adjustment items to the Company’s non-GAAP reconciliation tables, to further explain the specific tax impact of the two</w:t>
      </w:r>
    </w:p>
    <w:p>
      <w:pPr>
        <w:pStyle w:val="Normal"/>
        <w:framePr w:w="13648" w:hAnchor="page" w:vAnchor="page" w:x="276" w:y="18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response to the Staff’s Comment No. 3 above)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also included footnotes to Non-recurring legal settlement charges and Loss from investment in</w:t>
      </w:r>
    </w:p>
    <w:p>
      <w:pPr>
        <w:pStyle w:val="Normal"/>
        <w:framePr w:w="14062" w:hAnchor="page" w:vAnchor="page" w:x="276" w:y="16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has included the following language in its earnings release for the three months ended September 30, 2023</w:t>
      </w: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 xml:space="preserve"> (in italics below and also in our</w:t>
      </w:r>
    </w:p>
    <w:p>
      <w:pPr>
        <w:pStyle w:val="Normal"/>
        <w:framePr w:w="14033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response to the Staff’s request to revise the Company’s disclosures to explain how the tax effects of the non-GAAP adjustments are calculated, the</w:t>
      </w:r>
    </w:p>
    <w:p>
      <w:pPr>
        <w:pStyle w:val="Normal"/>
        <w:framePr w:w="87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Page 5</w:t>
      </w:r>
    </w:p>
    <w:p>
      <w:pPr>
        <w:pStyle w:val="Normal"/>
        <w:framePr w:w="2008" w:hAnchor="page" w:vAnchor="page" w:x="276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November 6, 2023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pt;margin-top:1pt;z-index:-16777012;width:598pt;height:7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.8pt;margin-top:1pt;z-index:-167770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2.45pt;z-index:-167770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97.95pt;margin-top:1pt;z-index:-167770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1pt;z-index:-167769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2.8pt;margin-top:302.6pt;z-index:-16776992;width:256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67.4pt;margin-top:302.6pt;z-index:-16776988;width:19.3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84.75pt;margin-top:302.6pt;z-index:-16776984;width:9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92.7pt;margin-top:302.6pt;z-index:-16776980;width:39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30.3pt;margin-top:302.6pt;z-index:-16776976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33.2pt;margin-top:302.6pt;z-index:-16776972;width:19.3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350.55pt;margin-top:302.6pt;z-index:-16776968;width:9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58.5pt;margin-top:302.6pt;z-index:-16776964;width:38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395.4pt;margin-top:302.6pt;z-index:-16776960;width:7.8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401.2pt;margin-top:302.6pt;z-index:-16776956;width:18.6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17.85pt;margin-top:302.6pt;z-index:-16776952;width:9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5.8pt;margin-top:302.6pt;z-index:-16776948;width:39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463.4pt;margin-top:302.6pt;z-index:-16776944;width:7.8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69.2pt;margin-top:302.6pt;z-index:-16776940;width:18.6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85.85pt;margin-top:302.6pt;z-index:-16776936;width:9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93.8pt;margin-top:302.6pt;z-index:-16776932;width:39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31.4pt;margin-top:302.6pt;z-index:-16776928;width:4.9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534.3pt;margin-top:302.6pt;z-index:-16776924;width:19.3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551.65pt;margin-top:302.6pt;z-index:-16776920;width:9.95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559.6pt;margin-top:302.6pt;z-index:-16776916;width:39.6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7.2pt;margin-top:302.6pt;z-index:-16776912;width:7.8pt;height:14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2.8pt;margin-top:326.5pt;z-index:-16776908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67.4pt;margin-top:326.5pt;z-index:-16776904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84.75pt;margin-top:326.5pt;z-index:-167769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2.7pt;margin-top:326.5pt;z-index:-1677689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30.3pt;margin-top:326.5pt;z-index:-167768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333.2pt;margin-top:326.5pt;z-index:-16776888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350.55pt;margin-top:326.5pt;z-index:-1677688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58.5pt;margin-top:326.5pt;z-index:-16776880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95.4pt;margin-top:326.5pt;z-index:-167768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401.2pt;margin-top:326.5pt;z-index:-16776872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17.85pt;margin-top:326.5pt;z-index:-1677686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25.8pt;margin-top:326.5pt;z-index:-1677686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63.4pt;margin-top:326.5pt;z-index:-167768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69.2pt;margin-top:326.5pt;z-index:-16776856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85.85pt;margin-top:326.5pt;z-index:-1677685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93.8pt;margin-top:326.5pt;z-index:-1677684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31.4pt;margin-top:326.5pt;z-index:-1677684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34.3pt;margin-top:326.5pt;z-index:-1677684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51.65pt;margin-top:326.5pt;z-index:-1677683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9.6pt;margin-top:326.5pt;z-index:-1677683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97.2pt;margin-top:326.5pt;z-index:-1677682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2.8pt;margin-top:349.65pt;z-index:-16776824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267.4pt;margin-top:349.65pt;z-index:-1677682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284.75pt;margin-top:349.65pt;z-index:-167768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292.7pt;margin-top:349.65pt;z-index:-1677681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330.3pt;margin-top:349.65pt;z-index:-167768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333.2pt;margin-top:349.65pt;z-index:-16776804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50.55pt;margin-top:349.65pt;z-index:-167768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358.5pt;margin-top:349.65pt;z-index:-16776796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95.4pt;margin-top:349.65pt;z-index:-167767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01.2pt;margin-top:349.65pt;z-index:-16776788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17.85pt;margin-top:349.65pt;z-index:-1677678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25.8pt;margin-top:349.65pt;z-index:-1677678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463.4pt;margin-top:349.65pt;z-index:-167767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469.2pt;margin-top:349.65pt;z-index:-16776772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485.85pt;margin-top:349.65pt;z-index:-1677676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93.8pt;margin-top:349.65pt;z-index:-1677676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531.4pt;margin-top:349.65pt;z-index:-1677676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534.3pt;margin-top:349.65pt;z-index:-1677675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551.65pt;margin-top:349.65pt;z-index:-1677675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559.6pt;margin-top:349.65pt;z-index:-1677674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97.2pt;margin-top:349.65pt;z-index:-1677674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12.8pt;margin-top:372.8pt;z-index:-16776740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67.4pt;margin-top:372.8pt;z-index:-1677673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284.75pt;margin-top:372.8pt;z-index:-167767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292.7pt;margin-top:372.8pt;z-index:-1677672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0.3pt;margin-top:372.8pt;z-index:-167767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33.2pt;margin-top:372.8pt;z-index:-1677672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50.55pt;margin-top:372.8pt;z-index:-167767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58.5pt;margin-top:372.8pt;z-index:-16776712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95.4pt;margin-top:372.8pt;z-index:-167767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01.2pt;margin-top:372.8pt;z-index:-16776704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7.85pt;margin-top:372.8pt;z-index:-167767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25.8pt;margin-top:372.8pt;z-index:-1677669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63.4pt;margin-top:372.8pt;z-index:-167766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469.2pt;margin-top:372.8pt;z-index:-16776688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485.85pt;margin-top:372.8pt;z-index:-1677668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493.8pt;margin-top:372.8pt;z-index:-1677668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531.4pt;margin-top:372.8pt;z-index:-1677667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534.3pt;margin-top:372.8pt;z-index:-16776672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51.65pt;margin-top:372.8pt;z-index:-1677666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59.6pt;margin-top:372.8pt;z-index:-1677666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7.2pt;margin-top:372.8pt;z-index:-1677666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2.8pt;margin-top:398.8pt;z-index:-16776656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67.4pt;margin-top:398.8pt;z-index:-16776652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84.75pt;margin-top:398.8pt;z-index:-167766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2.7pt;margin-top:398.8pt;z-index:-1677664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30.3pt;margin-top:398.8pt;z-index:-167766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33.2pt;margin-top:398.8pt;z-index:-1677663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50.55pt;margin-top:398.8pt;z-index:-167766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58.5pt;margin-top:398.8pt;z-index:-16776628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95.4pt;margin-top:398.8pt;z-index:-167766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01.2pt;margin-top:398.8pt;z-index:-16776620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7.85pt;margin-top:398.8pt;z-index:-167766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25.8pt;margin-top:398.8pt;z-index:-1677661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63.4pt;margin-top:398.8pt;z-index:-167766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69.2pt;margin-top:398.8pt;z-index:-16776604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85.85pt;margin-top:398.8pt;z-index:-167766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93.8pt;margin-top:398.8pt;z-index:-1677659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31.4pt;margin-top:398.8pt;z-index:-1677659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534.3pt;margin-top:398.8pt;z-index:-16776588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51.65pt;margin-top:398.8pt;z-index:-1677658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59.6pt;margin-top:398.8pt;z-index:-1677658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97.2pt;margin-top:398.8pt;z-index:-1677657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12.8pt;margin-top:421.95pt;z-index:-16776572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267.4pt;margin-top:421.95pt;z-index:-16776568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284.75pt;margin-top:421.95pt;z-index:-167765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292.7pt;margin-top:421.95pt;z-index:-1677656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330.3pt;margin-top:421.95pt;z-index:-167765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33.2pt;margin-top:421.95pt;z-index:-16776552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50.55pt;margin-top:421.95pt;z-index:-167765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58.5pt;margin-top:421.95pt;z-index:-16776544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395.4pt;margin-top:421.95pt;z-index:-167765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401.2pt;margin-top:421.95pt;z-index:-16776536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417.85pt;margin-top:421.95pt;z-index:-167765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425.8pt;margin-top:421.95pt;z-index:-1677652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463.4pt;margin-top:421.95pt;z-index:-167765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469.2pt;margin-top:421.95pt;z-index:-16776520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485.85pt;margin-top:421.95pt;z-index:-167765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493.8pt;margin-top:421.95pt;z-index:-1677651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531.4pt;margin-top:421.95pt;z-index:-1677650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34.3pt;margin-top:421.95pt;z-index:-16776504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51.65pt;margin-top:421.95pt;z-index:-1677650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559.6pt;margin-top:421.95pt;z-index:-1677649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97.2pt;margin-top:421.95pt;z-index:-1677649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2.8pt;margin-top:445.1pt;z-index:-16776488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67.4pt;margin-top:445.1pt;z-index:-16776484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84.75pt;margin-top:445.1pt;z-index:-167764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292.7pt;margin-top:445.1pt;z-index:-1677647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30.3pt;margin-top:445.1pt;z-index:-167764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33.2pt;margin-top:445.1pt;z-index:-16776468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50.55pt;margin-top:445.1pt;z-index:-167764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58.5pt;margin-top:445.1pt;z-index:-16776460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95.4pt;margin-top:445.1pt;z-index:-167764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401.2pt;margin-top:445.1pt;z-index:-16776452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17.85pt;margin-top:445.1pt;z-index:-167764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425.8pt;margin-top:445.1pt;z-index:-1677644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63.4pt;margin-top:445.1pt;z-index:-167764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69.2pt;margin-top:445.1pt;z-index:-16776436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85.85pt;margin-top:445.1pt;z-index:-167764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93.8pt;margin-top:445.1pt;z-index:-1677642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531.4pt;margin-top:445.1pt;z-index:-1677642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534.3pt;margin-top:445.1pt;z-index:-1677642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51.65pt;margin-top:445.1pt;z-index:-1677641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559.6pt;margin-top:445.1pt;z-index:-1677641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97.2pt;margin-top:445.1pt;z-index:-1677640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12.8pt;margin-top:468.25pt;z-index:-16776404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67.4pt;margin-top:468.25pt;z-index:-1677640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84.75pt;margin-top:468.25pt;z-index:-1677639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2.7pt;margin-top:468.25pt;z-index:-1677639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330.3pt;margin-top:468.25pt;z-index:-16776388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33.2pt;margin-top:468.25pt;z-index:-16776384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350.55pt;margin-top:468.25pt;z-index:-167763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58.5pt;margin-top:468.25pt;z-index:-16776376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95.4pt;margin-top:468.25pt;z-index:-167763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01.2pt;margin-top:468.25pt;z-index:-16776368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17.85pt;margin-top:468.25pt;z-index:-167763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25.8pt;margin-top:468.25pt;z-index:-1677636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63.4pt;margin-top:468.25pt;z-index:-167763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2pt;margin-top:468.25pt;z-index:-16776352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85.85pt;margin-top:468.25pt;z-index:-167763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93.8pt;margin-top:468.25pt;z-index:-1677634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31.4pt;margin-top:468.25pt;z-index:-1677634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34.3pt;margin-top:468.25pt;z-index:-1677633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51.65pt;margin-top:468.25pt;z-index:-1677633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59.6pt;margin-top:468.25pt;z-index:-1677632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97.2pt;margin-top:468.25pt;z-index:-1677632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2.8pt;margin-top:495.75pt;z-index:-16776320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67.4pt;margin-top:495.75pt;z-index:-1677631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84.75pt;margin-top:495.75pt;z-index:-1677631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92.7pt;margin-top:495.75pt;z-index:-16776308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30.3pt;margin-top:495.75pt;z-index:-16776304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33.2pt;margin-top:495.75pt;z-index:-16776300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50.55pt;margin-top:495.75pt;z-index:-1677629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358.5pt;margin-top:495.75pt;z-index:-16776292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95.4pt;margin-top:495.75pt;z-index:-167762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401.2pt;margin-top:495.75pt;z-index:-16776284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417.85pt;margin-top:495.75pt;z-index:-167762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425.8pt;margin-top:495.75pt;z-index:-1677627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63.4pt;margin-top:495.75pt;z-index:-16776272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69.2pt;margin-top:495.75pt;z-index:-16776268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485.85pt;margin-top:495.75pt;z-index:-167762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493.8pt;margin-top:495.75pt;z-index:-1677626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531.4pt;margin-top:495.75pt;z-index:-16776256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534.3pt;margin-top:495.75pt;z-index:-16776252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551.65pt;margin-top:495.75pt;z-index:-1677624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559.6pt;margin-top:495.75pt;z-index:-1677624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597.2pt;margin-top:495.75pt;z-index:-16776240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12.8pt;margin-top:520.35pt;z-index:-16776236;width:256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67.4pt;margin-top:520.35pt;z-index:-16776232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84.75pt;margin-top:520.35pt;z-index:-16776228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2.7pt;margin-top:520.35pt;z-index:-16776224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30.3pt;margin-top:520.35pt;z-index:-16776220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33.2pt;margin-top:520.35pt;z-index:-16776216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50.55pt;margin-top:520.35pt;z-index:-16776212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58.5pt;margin-top:520.35pt;z-index:-16776208;width:38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5.4pt;margin-top:520.35pt;z-index:-16776204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01.2pt;margin-top:520.35pt;z-index:-16776200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17.85pt;margin-top:520.35pt;z-index:-16776196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25.8pt;margin-top:520.35pt;z-index:-16776192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63.4pt;margin-top:520.35pt;z-index:-16776188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69.2pt;margin-top:520.35pt;z-index:-16776184;width:18.6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85.85pt;margin-top:520.35pt;z-index:-16776180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93.8pt;margin-top:520.35pt;z-index:-16776176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31.4pt;margin-top:520.35pt;z-index:-16776172;width:4.9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34.3pt;margin-top:520.35pt;z-index:-16776168;width:19.3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51.65pt;margin-top:520.35pt;z-index:-16776164;width:9.95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59.6pt;margin-top:520.35pt;z-index:-16776160;width:39.6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97.2pt;margin-top:520.35pt;z-index:-16776156;width:7.8pt;height:13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84.75pt;margin-top:384.35pt;z-index:-1677615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92.7pt;margin-top:384.35pt;z-index:-1677614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350.55pt;margin-top:384.35pt;z-index:-1677614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358.5pt;margin-top:384.35pt;z-index:-16776140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417.85pt;margin-top:384.35pt;z-index:-1677613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425.8pt;margin-top:384.35pt;z-index:-1677613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85.85pt;margin-top:384.35pt;z-index:-1677612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93.8pt;margin-top:384.35pt;z-index:-1677612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551.65pt;margin-top:384.35pt;z-index:-1677612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559.6pt;margin-top:384.35pt;z-index:-1677611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84.75pt;margin-top:397.35pt;z-index:-1677611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92.7pt;margin-top:397.35pt;z-index:-1677610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50.55pt;margin-top:397.35pt;z-index:-1677610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8.5pt;margin-top:397.35pt;z-index:-16776100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17.85pt;margin-top:397.35pt;z-index:-1677609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25.8pt;margin-top:397.35pt;z-index:-1677609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5.85pt;margin-top:397.35pt;z-index:-1677608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93.8pt;margin-top:397.35pt;z-index:-1677608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51.65pt;margin-top:397.35pt;z-index:-167760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559.6pt;margin-top:397.35pt;z-index:-1677607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84.75pt;margin-top:479.85pt;z-index:-1677607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92.7pt;margin-top:479.85pt;z-index:-1677606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50.55pt;margin-top:479.85pt;z-index:-1677606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58.5pt;margin-top:479.85pt;z-index:-16776060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17.85pt;margin-top:479.85pt;z-index:-1677605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425.8pt;margin-top:479.85pt;z-index:-1677605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85.85pt;margin-top:479.85pt;z-index:-1677604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93.8pt;margin-top:479.85pt;z-index:-1677604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551.65pt;margin-top:479.85pt;z-index:-1677604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59.6pt;margin-top:479.85pt;z-index:-1677603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284.75pt;margin-top:492.85pt;z-index:-1677603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284.75pt;margin-top:494.3pt;z-index:-1677602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292.7pt;margin-top:492.85pt;z-index:-1677602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292.7pt;margin-top:494.3pt;z-index:-16776020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50.55pt;margin-top:492.85pt;z-index:-1677601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50.55pt;margin-top:494.3pt;z-index:-1677601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58.5pt;margin-top:492.85pt;z-index:-16776008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58.5pt;margin-top:494.3pt;z-index:-16776004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17.85pt;margin-top:492.85pt;z-index:-1677600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417.85pt;margin-top:494.3pt;z-index:-1677599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425.8pt;margin-top:492.85pt;z-index:-1677599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425.8pt;margin-top:494.3pt;z-index:-1677598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485.85pt;margin-top:492.85pt;z-index:-1677598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85.85pt;margin-top:494.3pt;z-index:-167759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93.8pt;margin-top:492.85pt;z-index:-1677597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493.8pt;margin-top:494.3pt;z-index:-1677597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51.65pt;margin-top:492.85pt;z-index:-1677596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51.65pt;margin-top:494.3pt;z-index:-1677596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559.6pt;margin-top:492.85pt;z-index:-16775960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59.6pt;margin-top:494.3pt;z-index:-1677595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284.75pt;margin-top:518.9pt;z-index:-1677595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292.7pt;margin-top:518.9pt;z-index:-1677594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50.55pt;margin-top:518.9pt;z-index:-1677594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58.5pt;margin-top:518.9pt;z-index:-16775940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17.85pt;margin-top:518.9pt;z-index:-1677593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425.8pt;margin-top:518.9pt;z-index:-1677593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485.85pt;margin-top:518.9pt;z-index:-1677592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93.8pt;margin-top:518.9pt;z-index:-1677592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51.65pt;margin-top:518.9pt;z-index:-1677592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559.6pt;margin-top:518.9pt;z-index:-1677591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284.75pt;margin-top:531.9pt;z-index:-1677591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284.75pt;margin-top:533.35pt;z-index:-1677590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292.7pt;margin-top:531.9pt;z-index:-1677590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292.7pt;margin-top:533.35pt;z-index:-16775900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350.55pt;margin-top:531.9pt;z-index:-1677589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350.55pt;margin-top:533.35pt;z-index:-16775892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358.5pt;margin-top:531.9pt;z-index:-16775888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358.5pt;margin-top:533.35pt;z-index:-16775884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417.85pt;margin-top:531.9pt;z-index:-1677588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417.85pt;margin-top:533.35pt;z-index:-16775876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425.8pt;margin-top:531.9pt;z-index:-1677587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25.8pt;margin-top:533.35pt;z-index:-1677586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485.85pt;margin-top:531.9pt;z-index:-1677586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485.85pt;margin-top:533.35pt;z-index:-16775860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93.8pt;margin-top:531.9pt;z-index:-1677585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493.8pt;margin-top:533.35pt;z-index:-1677585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551.65pt;margin-top:531.9pt;z-index:-16775848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551.65pt;margin-top:533.35pt;z-index:-16775844;width:9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559.6pt;margin-top:531.9pt;z-index:-16775840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559.6pt;margin-top:533.35pt;z-index:-1677583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559.6pt;margin-top:302.6pt;z-index:-16775832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493.8pt;margin-top:302.6pt;z-index:-16775828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425.8pt;margin-top:302.6pt;z-index:-16775824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358.5pt;margin-top:302.6pt;z-index:-16775820;width:38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292.7pt;margin-top:302.6pt;z-index:-16775816;width:3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551.65pt;margin-top:286pt;z-index:-1677581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551.65pt;margin-top:302.6pt;z-index:-1677580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534.3pt;margin-top:286pt;z-index:-16775804;width:1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531.4pt;margin-top:286pt;z-index:-16775800;width:4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485.85pt;margin-top:302.6pt;z-index:-16775796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417.85pt;margin-top:286pt;z-index:-16775792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417.85pt;margin-top:302.6pt;z-index:-16775788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401.2pt;margin-top:286pt;z-index:-16775784;width:1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95.4pt;margin-top:286pt;z-index:-16775780;width: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350.55pt;margin-top:286pt;z-index:-16775776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50.55pt;margin-top:302.6pt;z-index:-16775772;width:46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333.2pt;margin-top:286pt;z-index:-16775768;width:19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330.3pt;margin-top:286pt;z-index:-16775764;width:4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284.75pt;margin-top:302.6pt;z-index:-16775760;width:47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485.85pt;margin-top:286pt;z-index:-16775756;width:11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284.75pt;margin-top:286pt;z-index:-16775752;width:180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367.2pt;margin-top:640.4pt;z-index:-16775748;width:237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13.8pt;margin-top:46.1pt;z-index:-16775744;width:146.1pt;height:1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</w:p>
    <w:sectPr>
      <w:pgSz w:w="12240" w:h="20160"/>
      <w:pgMar w:top="400" w:right="400" w:bottom="400" w:left="400" w:header="720" w:footer="720"/>
      <w:pgNumType w:start="5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dfc9f5e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jpe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jpe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jpe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jpeg" Type="http://schemas.openxmlformats.org/officeDocument/2006/relationships/image"/><Relationship Id="rId369" Target="styles.xml" Type="http://schemas.openxmlformats.org/officeDocument/2006/relationships/styles"/><Relationship Id="rId37" Target="media/image37.png" Type="http://schemas.openxmlformats.org/officeDocument/2006/relationships/image"/><Relationship Id="rId370" Target="fontTable.xml" Type="http://schemas.openxmlformats.org/officeDocument/2006/relationships/fontTable"/><Relationship Id="rId371" Target="settings.xml" Type="http://schemas.openxmlformats.org/officeDocument/2006/relationships/settings"/><Relationship Id="rId372" Target="webSettings.xml" Type="http://schemas.openxmlformats.org/officeDocument/2006/relationships/webSettings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jpe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5</Pages>
  <Words>3171</Words>
  <Characters>17407</Characters>
  <Application>e-iceblue</Application>
  <DocSecurity>0</DocSecurity>
  <Lines>395</Lines>
  <Paragraphs>395</Paragraphs>
  <ScaleCrop>false</ScaleCrop>
  <Company>e-iceblue</Company>
  <LinksUpToDate>false</LinksUpToDate>
  <CharactersWithSpaces>20540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2024-01-11T23:15:46Z</dcterms:created>
  <dc:creator>root</dc:creator>
  <cp:lastModifiedBy>root</cp:lastModifiedBy>
  <dcterms:modified xsi:type="dcterms:W3CDTF">2024-01-11T23:15:46Z</dcterms:modified>
  <cp:revision>1</cp:revision>
</cp:coreProperties>
</file>