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 SECURITIES AND</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EXCHANGE COMMISSION</w:t>
      </w:r>
    </w:p>
    <w:p>
      <w:pPr>
        <w:spacing w:after="0"/>
        <w:tabs>
          <w:tab w:leader="none" w:pos="1880" w:val="left"/>
        </w:tabs>
        <w:rPr>
          <w:sz w:val="20"/>
          <w:szCs w:val="20"/>
          <w:color w:val="auto"/>
        </w:rPr>
      </w:pPr>
      <w:r>
        <w:rPr>
          <w:rFonts w:ascii="Courier New" w:cs="Courier New" w:eastAsia="Courier New" w:hAnsi="Courier New"/>
          <w:sz w:val="18"/>
          <w:szCs w:val="18"/>
          <w:color w:val="auto"/>
        </w:rPr>
        <w:t>Washington, D.C.</w:t>
      </w:r>
      <w:r>
        <w:rPr>
          <w:sz w:val="20"/>
          <w:szCs w:val="20"/>
          <w:color w:val="auto"/>
        </w:rPr>
        <w:tab/>
      </w:r>
      <w:r>
        <w:rPr>
          <w:rFonts w:ascii="Courier New" w:cs="Courier New" w:eastAsia="Courier New" w:hAnsi="Courier New"/>
          <w:sz w:val="16"/>
          <w:szCs w:val="16"/>
          <w:color w:val="auto"/>
        </w:rPr>
        <w:t>20549</w:t>
      </w:r>
    </w:p>
    <w:p>
      <w:pPr>
        <w:spacing w:after="0" w:line="3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13G/A</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3)</w:t>
      </w:r>
    </w:p>
    <w:p>
      <w:pPr>
        <w:spacing w:after="0"/>
        <w:rPr>
          <w:sz w:val="20"/>
          <w:szCs w:val="20"/>
          <w:color w:val="auto"/>
        </w:rPr>
      </w:pPr>
      <w:r>
        <w:rPr>
          <w:rFonts w:ascii="Courier New" w:cs="Courier New" w:eastAsia="Courier New" w:hAnsi="Courier New"/>
          <w:sz w:val="18"/>
          <w:szCs w:val="18"/>
          <w:color w:val="auto"/>
        </w:rPr>
        <w:t>(RULE 13d-102)</w:t>
      </w:r>
    </w:p>
    <w:p>
      <w:pPr>
        <w:spacing w:after="0" w:line="3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Information to be included in statements filed</w:t>
      </w:r>
    </w:p>
    <w:p>
      <w:pPr>
        <w:spacing w:after="0" w:line="31" w:lineRule="exact"/>
        <w:rPr>
          <w:sz w:val="24"/>
          <w:szCs w:val="24"/>
          <w:color w:val="auto"/>
        </w:rPr>
      </w:pPr>
    </w:p>
    <w:p>
      <w:pPr>
        <w:ind w:right="3699"/>
        <w:spacing w:after="0" w:line="309" w:lineRule="auto"/>
        <w:rPr>
          <w:sz w:val="20"/>
          <w:szCs w:val="20"/>
          <w:color w:val="auto"/>
        </w:rPr>
      </w:pPr>
      <w:r>
        <w:rPr>
          <w:rFonts w:ascii="Courier New" w:cs="Courier New" w:eastAsia="Courier New" w:hAnsi="Courier New"/>
          <w:sz w:val="18"/>
          <w:szCs w:val="18"/>
          <w:color w:val="auto"/>
        </w:rPr>
        <w:t>pursuant to Rule 13d-1 (b) (c) and (d) and Amendments thereto filed pursuant to Rule 13d-2 (b).</w:t>
      </w:r>
    </w:p>
    <w:p>
      <w:pPr>
        <w:spacing w:after="0" w:line="25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TechnipFMC PLC</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(Name of Issuer)</w:t>
      </w:r>
    </w:p>
    <w:p>
      <w:pPr>
        <w:spacing w:after="0" w:line="3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shares</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G87110105</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(CUSIP/SEDOL Number)</w:t>
      </w:r>
    </w:p>
    <w:p>
      <w:pPr>
        <w:spacing w:after="0" w:line="3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2020</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372" w:lineRule="exact"/>
        <w:rPr>
          <w:sz w:val="24"/>
          <w:szCs w:val="24"/>
          <w:color w:val="auto"/>
        </w:rPr>
      </w:pPr>
    </w:p>
    <w:p>
      <w:pPr>
        <w:ind w:right="4239"/>
        <w:spacing w:after="0" w:line="346"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 w:lineRule="exact"/>
        <w:rPr>
          <w:sz w:val="24"/>
          <w:szCs w:val="24"/>
          <w:color w:val="auto"/>
        </w:rPr>
      </w:pPr>
    </w:p>
    <w:p>
      <w:pPr>
        <w:ind w:left="860" w:hanging="852"/>
        <w:spacing w:after="0"/>
        <w:tabs>
          <w:tab w:leader="none" w:pos="8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 (b)</w:t>
      </w:r>
    </w:p>
    <w:p>
      <w:pPr>
        <w:spacing w:after="0" w:line="30"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 (c)</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 (d)</w:t>
      </w:r>
    </w:p>
    <w:p>
      <w:pPr>
        <w:spacing w:after="0" w:line="169" w:lineRule="exact"/>
        <w:rPr>
          <w:sz w:val="24"/>
          <w:szCs w:val="24"/>
          <w:color w:val="auto"/>
        </w:rPr>
      </w:pPr>
    </w:p>
    <w:p>
      <w:pPr>
        <w:ind w:right="3079" w:firstLine="843"/>
        <w:spacing w:after="0" w:line="265"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89" w:lineRule="exact"/>
        <w:rPr>
          <w:sz w:val="24"/>
          <w:szCs w:val="24"/>
          <w:color w:val="auto"/>
        </w:rPr>
      </w:pPr>
    </w:p>
    <w:p>
      <w:pPr>
        <w:ind w:right="2239" w:firstLine="843"/>
        <w:spacing w:after="0" w:line="265"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39"/>
          </w:cols>
          <w:pgMar w:left="320" w:top="825" w:right="1440" w:bottom="1440" w:gutter="0" w:footer="0" w:header="0"/>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SCHEDULE 13G/A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Issuer: TechnipFMC PLC CUSIP No.: G87110105</w:t>
      </w:r>
    </w:p>
    <w:p>
      <w:pPr>
        <w:spacing w:after="0" w:line="201" w:lineRule="exact"/>
        <w:rPr>
          <w:sz w:val="20"/>
          <w:szCs w:val="20"/>
          <w:color w:val="auto"/>
        </w:rPr>
      </w:pPr>
    </w:p>
    <w:p>
      <w:pPr>
        <w:ind w:left="860" w:right="5279" w:hanging="852"/>
        <w:spacing w:after="0" w:line="353" w:lineRule="auto"/>
        <w:tabs>
          <w:tab w:leader="none" w:pos="8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 I.R.S. IDENTIFICATION NOS. OF ABOVE PERSONS First Eagle Investment Management, LLC Tax ID # 57-1156902</w:t>
      </w:r>
    </w:p>
    <w:p>
      <w:pPr>
        <w:spacing w:after="0" w:line="218" w:lineRule="exact"/>
        <w:rPr>
          <w:sz w:val="20"/>
          <w:szCs w:val="20"/>
          <w:color w:val="auto"/>
        </w:rPr>
      </w:pPr>
    </w:p>
    <w:p>
      <w:pPr>
        <w:ind w:left="860" w:right="5399" w:hanging="852"/>
        <w:spacing w:after="0" w:line="257" w:lineRule="auto"/>
        <w:tabs>
          <w:tab w:leader="none" w:pos="8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w:t>
      </w: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w:t>
      </w:r>
    </w:p>
    <w:p>
      <w:pPr>
        <w:spacing w:after="0" w:line="372" w:lineRule="exact"/>
        <w:rPr>
          <w:sz w:val="20"/>
          <w:szCs w:val="20"/>
          <w:color w:val="auto"/>
        </w:rPr>
      </w:pPr>
    </w:p>
    <w:p>
      <w:pPr>
        <w:ind w:left="860" w:hanging="852"/>
        <w:spacing w:after="0"/>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0" w:lineRule="exact"/>
        <w:rPr>
          <w:sz w:val="20"/>
          <w:szCs w:val="20"/>
          <w:color w:val="auto"/>
        </w:rPr>
      </w:pPr>
    </w:p>
    <w:p>
      <w:pPr>
        <w:spacing w:after="0" w:line="204" w:lineRule="exact"/>
        <w:rPr>
          <w:sz w:val="20"/>
          <w:szCs w:val="20"/>
          <w:color w:val="auto"/>
        </w:rPr>
      </w:pPr>
    </w:p>
    <w:p>
      <w:pPr>
        <w:ind w:left="860" w:right="5499" w:hanging="852"/>
        <w:spacing w:after="0" w:line="585" w:lineRule="auto"/>
        <w:tabs>
          <w:tab w:leader="none" w:pos="8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State of Delaware</w:t>
      </w: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12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620" w:type="dxa"/>
            <w:vAlign w:val="bottom"/>
          </w:tcPr>
          <w:p>
            <w:pPr>
              <w:jc w:val="right"/>
              <w:ind w:right="12"/>
              <w:spacing w:after="0"/>
              <w:rPr>
                <w:sz w:val="20"/>
                <w:szCs w:val="20"/>
                <w:color w:val="auto"/>
              </w:rPr>
            </w:pPr>
            <w:r>
              <w:rPr>
                <w:rFonts w:ascii="Courier New" w:cs="Courier New" w:eastAsia="Courier New" w:hAnsi="Courier New"/>
                <w:sz w:val="18"/>
                <w:szCs w:val="18"/>
                <w:color w:val="auto"/>
              </w:rPr>
              <w:t>5</w:t>
            </w:r>
          </w:p>
        </w:tc>
        <w:tc>
          <w:tcPr>
            <w:tcW w:w="3060" w:type="dxa"/>
            <w:vAlign w:val="bottom"/>
          </w:tcPr>
          <w:p>
            <w:pPr>
              <w:ind w:left="120"/>
              <w:spacing w:after="0"/>
              <w:rPr>
                <w:sz w:val="20"/>
                <w:szCs w:val="20"/>
                <w:color w:val="auto"/>
              </w:rPr>
            </w:pPr>
            <w:r>
              <w:rPr>
                <w:rFonts w:ascii="Courier New" w:cs="Courier New" w:eastAsia="Courier New" w:hAnsi="Courier New"/>
                <w:sz w:val="18"/>
                <w:szCs w:val="18"/>
                <w:color w:val="auto"/>
              </w:rPr>
              <w:t>SOLE VOTING POWER - 0</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w:t>
            </w:r>
          </w:p>
        </w:tc>
        <w:tc>
          <w:tcPr>
            <w:tcW w:w="306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SHARED VOTING POWER - 0</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OWNED BY EACH</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w:t>
            </w:r>
          </w:p>
        </w:tc>
        <w:tc>
          <w:tcPr>
            <w:tcW w:w="306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SOLE DISPOSITIVE POWER - 0</w:t>
            </w:r>
          </w:p>
        </w:tc>
      </w:tr>
      <w:tr>
        <w:trPr>
          <w:trHeight w:val="202"/>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 PERSON</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w:t>
            </w:r>
          </w:p>
        </w:tc>
        <w:tc>
          <w:tcPr>
            <w:tcW w:w="306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w w:val="96"/>
              </w:rPr>
              <w:t>SHARED DISPOSITIVE POWER - 0</w:t>
            </w:r>
          </w:p>
        </w:tc>
      </w:tr>
      <w:tr>
        <w:trPr>
          <w:trHeight w:val="296"/>
        </w:trPr>
        <w:tc>
          <w:tcPr>
            <w:tcW w:w="2120" w:type="dxa"/>
            <w:vAlign w:val="bottom"/>
          </w:tcPr>
          <w:p>
            <w:pPr>
              <w:spacing w:after="0"/>
              <w:rPr>
                <w:sz w:val="20"/>
                <w:szCs w:val="20"/>
                <w:color w:val="auto"/>
              </w:rPr>
            </w:pPr>
            <w:r>
              <w:rPr>
                <w:rFonts w:ascii="Courier New" w:cs="Courier New" w:eastAsia="Courier New" w:hAnsi="Courier New"/>
                <w:sz w:val="18"/>
                <w:szCs w:val="18"/>
                <w:color w:val="auto"/>
              </w:rPr>
              <w:t>WITH:</w:t>
            </w:r>
          </w:p>
        </w:tc>
        <w:tc>
          <w:tcPr>
            <w:tcW w:w="620" w:type="dxa"/>
            <w:vAlign w:val="bottom"/>
          </w:tcPr>
          <w:p>
            <w:pPr>
              <w:spacing w:after="0"/>
              <w:rPr>
                <w:sz w:val="24"/>
                <w:szCs w:val="24"/>
                <w:color w:val="auto"/>
              </w:rPr>
            </w:pPr>
          </w:p>
        </w:tc>
        <w:tc>
          <w:tcPr>
            <w:tcW w:w="3060" w:type="dxa"/>
            <w:vAlign w:val="bottom"/>
          </w:tcPr>
          <w:p>
            <w:pPr>
              <w:spacing w:after="0"/>
              <w:rPr>
                <w:sz w:val="24"/>
                <w:szCs w:val="24"/>
                <w:color w:val="auto"/>
              </w:rPr>
            </w:pPr>
          </w:p>
        </w:tc>
      </w:tr>
    </w:tbl>
    <w:p>
      <w:pPr>
        <w:spacing w:after="0" w:line="311" w:lineRule="exact"/>
        <w:rPr>
          <w:sz w:val="20"/>
          <w:szCs w:val="20"/>
          <w:color w:val="auto"/>
        </w:rPr>
      </w:pPr>
    </w:p>
    <w:p>
      <w:pPr>
        <w:ind w:left="860" w:right="5599" w:hanging="852"/>
        <w:spacing w:after="0" w:line="346" w:lineRule="auto"/>
        <w:tabs>
          <w:tab w:leader="none" w:pos="8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w:t>
      </w:r>
    </w:p>
    <w:p>
      <w:pPr>
        <w:spacing w:after="0" w:line="19"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4" w:lineRule="exact"/>
        <w:rPr>
          <w:sz w:val="20"/>
          <w:szCs w:val="20"/>
          <w:color w:val="auto"/>
        </w:rPr>
      </w:pPr>
    </w:p>
    <w:p>
      <w:pPr>
        <w:jc w:val="both"/>
        <w:ind w:left="860" w:right="5919" w:hanging="852"/>
        <w:spacing w:after="0" w:line="411"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(11) EXCLUDES CERTAIN SHARES N/A</w:t>
      </w:r>
    </w:p>
    <w:p>
      <w:pPr>
        <w:spacing w:after="0" w:line="167" w:lineRule="exact"/>
        <w:rPr>
          <w:rFonts w:ascii="Courier New" w:cs="Courier New" w:eastAsia="Courier New" w:hAnsi="Courier New"/>
          <w:sz w:val="18"/>
          <w:szCs w:val="18"/>
          <w:color w:val="auto"/>
        </w:rPr>
      </w:pPr>
    </w:p>
    <w:p>
      <w:pPr>
        <w:ind w:left="860" w:right="5279" w:hanging="852"/>
        <w:spacing w:after="0" w:line="346"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19"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0.00%</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right="6759" w:hanging="852"/>
        <w:spacing w:after="0" w:line="585"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IA</w:t>
      </w:r>
    </w:p>
    <w:p>
      <w:pPr>
        <w:sectPr>
          <w:pgSz w:w="11900" w:h="16838" w:orient="portrait"/>
          <w:cols w:equalWidth="0" w:num="1">
            <w:col w:w="10139"/>
          </w:cols>
          <w:pgMar w:left="320" w:top="690" w:right="1440" w:bottom="1440" w:gutter="0" w:footer="0" w:header="0"/>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SCHEDULE 13G/A</w:t>
      </w:r>
    </w:p>
    <w:p>
      <w:pPr>
        <w:spacing w:after="0" w:line="201"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Issuer: TechnipFMC PLC</w:t>
      </w:r>
      <w:r>
        <w:rPr>
          <w:sz w:val="20"/>
          <w:szCs w:val="20"/>
          <w:color w:val="auto"/>
        </w:rPr>
        <w:tab/>
      </w:r>
      <w:r>
        <w:rPr>
          <w:rFonts w:ascii="Courier New" w:cs="Courier New" w:eastAsia="Courier New" w:hAnsi="Courier New"/>
          <w:sz w:val="16"/>
          <w:szCs w:val="16"/>
          <w:color w:val="auto"/>
        </w:rPr>
        <w:t>CUSIP No.: G87110105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ind w:left="860" w:hanging="852"/>
        <w:spacing w:after="0"/>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 TechnipFMC PLC</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right="4239" w:hanging="852"/>
        <w:spacing w:after="0" w:line="376" w:lineRule="auto"/>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 One St. Paul's Churchyard</w:t>
      </w: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London, X0 EC4M 8AP, United Kingdom</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 First Eagle Investment Management, LLC</w:t>
      </w:r>
    </w:p>
    <w:p>
      <w:pPr>
        <w:spacing w:after="0" w:line="201" w:lineRule="exact"/>
        <w:rPr>
          <w:rFonts w:ascii="Courier New" w:cs="Courier New" w:eastAsia="Courier New" w:hAnsi="Courier New"/>
          <w:sz w:val="18"/>
          <w:szCs w:val="18"/>
          <w:color w:val="auto"/>
        </w:rPr>
      </w:pPr>
    </w:p>
    <w:p>
      <w:pPr>
        <w:ind w:left="860" w:right="5399" w:hanging="852"/>
        <w:spacing w:after="0" w:line="376" w:lineRule="auto"/>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1345 Avenue of the Americas</w:t>
      </w: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New York, NY 10105</w:t>
      </w:r>
    </w:p>
    <w:p>
      <w:pPr>
        <w:spacing w:after="0" w:line="37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Delaware, USA</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right="6239" w:hanging="852"/>
        <w:spacing w:after="0" w:line="585" w:lineRule="auto"/>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Stock</w:t>
      </w:r>
    </w:p>
    <w:p>
      <w:pPr>
        <w:spacing w:after="0" w:line="220"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No.: G87110105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If this statement is filed pursuant to Sections 240.</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13d-1(b), or 240.13d-2(b) or (c), check whether</w:t>
      </w:r>
    </w:p>
    <w:p>
      <w:pPr>
        <w:spacing w:after="0"/>
        <w:rPr>
          <w:sz w:val="20"/>
          <w:szCs w:val="20"/>
          <w:color w:val="auto"/>
        </w:rPr>
      </w:pPr>
      <w:r>
        <w:rPr>
          <w:rFonts w:ascii="Courier New" w:cs="Courier New" w:eastAsia="Courier New" w:hAnsi="Courier New"/>
          <w:sz w:val="18"/>
          <w:szCs w:val="18"/>
          <w:color w:val="auto"/>
        </w:rPr>
        <w:t>the person filing is a:</w:t>
      </w:r>
    </w:p>
    <w:p>
      <w:pPr>
        <w:spacing w:after="0" w:line="169" w:lineRule="exact"/>
        <w:rPr>
          <w:sz w:val="20"/>
          <w:szCs w:val="20"/>
          <w:color w:val="auto"/>
        </w:rPr>
      </w:pPr>
    </w:p>
    <w:p>
      <w:pPr>
        <w:ind w:left="1700" w:right="4439" w:hanging="1692"/>
        <w:spacing w:after="0" w:line="402" w:lineRule="auto"/>
        <w:tabs>
          <w:tab w:leader="none" w:pos="858"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Broker or dealer registered under Section 15 of the Act (15 U.S.C. 78o);</w:t>
      </w: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Bank as defined in section 3(a)(6) of the Act (15 U.S.C. 78c);</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Insurance Company as defined in section</w:t>
      </w:r>
    </w:p>
    <w:p>
      <w:pPr>
        <w:spacing w:after="0" w:line="3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3(a)(19) of the Act (15 U.S.C. 78C);</w:t>
      </w:r>
    </w:p>
    <w:p>
      <w:pPr>
        <w:spacing w:after="0" w:line="169" w:lineRule="exact"/>
        <w:rPr>
          <w:sz w:val="20"/>
          <w:szCs w:val="20"/>
          <w:color w:val="auto"/>
        </w:rPr>
      </w:pPr>
    </w:p>
    <w:p>
      <w:pPr>
        <w:ind w:left="1700" w:right="3919" w:hanging="1692"/>
        <w:spacing w:after="0" w:line="292" w:lineRule="auto"/>
        <w:tabs>
          <w:tab w:leader="none" w:pos="858"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if 1940 (15 U.S.C. 80a-8);</w:t>
      </w:r>
    </w:p>
    <w:p>
      <w:pPr>
        <w:spacing w:after="0" w:line="65" w:lineRule="exact"/>
        <w:rPr>
          <w:rFonts w:ascii="Courier New" w:cs="Courier New" w:eastAsia="Courier New" w:hAnsi="Courier New"/>
          <w:sz w:val="18"/>
          <w:szCs w:val="18"/>
          <w:color w:val="auto"/>
        </w:rPr>
      </w:pPr>
    </w:p>
    <w:p>
      <w:pPr>
        <w:ind w:left="1700" w:right="3399" w:hanging="1692"/>
        <w:spacing w:after="0" w:line="346" w:lineRule="auto"/>
        <w:tabs>
          <w:tab w:leader="none" w:pos="858"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[X]An investment adviser in accordance with Section 240.13d-1(b)(1)(ii)(E);</w:t>
      </w:r>
    </w:p>
    <w:p>
      <w:pPr>
        <w:spacing w:after="0" w:line="19" w:lineRule="exact"/>
        <w:rPr>
          <w:rFonts w:ascii="Courier New" w:cs="Courier New" w:eastAsia="Courier New" w:hAnsi="Courier New"/>
          <w:sz w:val="18"/>
          <w:szCs w:val="18"/>
          <w:color w:val="auto"/>
        </w:rPr>
      </w:pPr>
    </w:p>
    <w:p>
      <w:pPr>
        <w:ind w:left="1700" w:right="2019" w:hanging="1692"/>
        <w:spacing w:after="0" w:line="346" w:lineRule="auto"/>
        <w:tabs>
          <w:tab w:leader="none" w:pos="858"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Section 240.13d-1(b)(1)(ii)(F);</w:t>
      </w:r>
    </w:p>
    <w:p>
      <w:pPr>
        <w:spacing w:after="0" w:line="19" w:lineRule="exact"/>
        <w:rPr>
          <w:rFonts w:ascii="Courier New" w:cs="Courier New" w:eastAsia="Courier New" w:hAnsi="Courier New"/>
          <w:sz w:val="18"/>
          <w:szCs w:val="18"/>
          <w:color w:val="auto"/>
        </w:rPr>
      </w:pPr>
    </w:p>
    <w:p>
      <w:pPr>
        <w:ind w:left="1700" w:right="2019" w:hanging="1692"/>
        <w:spacing w:after="0" w:line="346" w:lineRule="auto"/>
        <w:tabs>
          <w:tab w:leader="none" w:pos="858"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parent holding company or control person in accordance with Section 240.13d-1(b)(1)(ii)(G);</w:t>
      </w:r>
    </w:p>
    <w:p>
      <w:pPr>
        <w:spacing w:after="0" w:line="19" w:lineRule="exact"/>
        <w:rPr>
          <w:rFonts w:ascii="Courier New" w:cs="Courier New" w:eastAsia="Courier New" w:hAnsi="Courier New"/>
          <w:sz w:val="18"/>
          <w:szCs w:val="18"/>
          <w:color w:val="auto"/>
        </w:rPr>
      </w:pPr>
    </w:p>
    <w:p>
      <w:pPr>
        <w:ind w:left="1700" w:right="2559" w:hanging="1692"/>
        <w:spacing w:after="0" w:line="346" w:lineRule="auto"/>
        <w:tabs>
          <w:tab w:leader="none" w:pos="858"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line="19"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A church plan that is excluded from the</w:t>
      </w:r>
    </w:p>
    <w:p>
      <w:pPr>
        <w:spacing w:after="0" w:line="31" w:lineRule="exact"/>
        <w:rPr>
          <w:sz w:val="20"/>
          <w:szCs w:val="20"/>
          <w:color w:val="auto"/>
        </w:rPr>
      </w:pPr>
    </w:p>
    <w:p>
      <w:pPr>
        <w:ind w:left="1700" w:right="2019"/>
        <w:spacing w:after="0" w:line="309" w:lineRule="auto"/>
        <w:rPr>
          <w:sz w:val="20"/>
          <w:szCs w:val="20"/>
          <w:color w:val="auto"/>
        </w:rPr>
      </w:pPr>
      <w:r>
        <w:rPr>
          <w:rFonts w:ascii="Courier New" w:cs="Courier New" w:eastAsia="Courier New" w:hAnsi="Courier New"/>
          <w:sz w:val="18"/>
          <w:szCs w:val="18"/>
          <w:color w:val="auto"/>
        </w:rPr>
        <w:t>definition of an insurance company under Section 3 (c)(14) of the Investment Company Act of 1940 (15 U.S.C. 80a-3);</w:t>
      </w:r>
    </w:p>
    <w:p>
      <w:pPr>
        <w:spacing w:after="0" w:line="50" w:lineRule="exact"/>
        <w:rPr>
          <w:sz w:val="20"/>
          <w:szCs w:val="20"/>
          <w:color w:val="auto"/>
        </w:rPr>
      </w:pPr>
    </w:p>
    <w:p>
      <w:pPr>
        <w:spacing w:after="0"/>
        <w:tabs>
          <w:tab w:leader="none" w:pos="840" w:val="left"/>
          <w:tab w:leader="none" w:pos="1140" w:val="left"/>
          <w:tab w:leader="none" w:pos="1680" w:val="left"/>
        </w:tabs>
        <w:rPr>
          <w:sz w:val="20"/>
          <w:szCs w:val="20"/>
          <w:color w:val="auto"/>
        </w:rPr>
      </w:pPr>
      <w:r>
        <w:rPr>
          <w:rFonts w:ascii="Courier New" w:cs="Courier New" w:eastAsia="Courier New" w:hAnsi="Courier New"/>
          <w:sz w:val="18"/>
          <w:szCs w:val="18"/>
          <w:color w:val="auto"/>
        </w:rPr>
        <w:t>(j)</w:t>
      </w:r>
      <w:r>
        <w:rPr>
          <w:sz w:val="20"/>
          <w:szCs w:val="20"/>
          <w:color w:val="auto"/>
        </w:rPr>
        <w:tab/>
      </w:r>
      <w:r>
        <w:rPr>
          <w:rFonts w:ascii="Courier New" w:cs="Courier New" w:eastAsia="Courier New" w:hAnsi="Courier New"/>
          <w:sz w:val="18"/>
          <w:szCs w:val="18"/>
          <w:color w:val="auto"/>
        </w:rPr>
        <w:t>[</w:t>
        <w:tab/>
        <w:t>]</w:t>
      </w:r>
      <w:r>
        <w:rPr>
          <w:sz w:val="20"/>
          <w:szCs w:val="20"/>
          <w:color w:val="auto"/>
        </w:rPr>
        <w:tab/>
      </w:r>
      <w:r>
        <w:rPr>
          <w:rFonts w:ascii="Courier New" w:cs="Courier New" w:eastAsia="Courier New" w:hAnsi="Courier New"/>
          <w:sz w:val="16"/>
          <w:szCs w:val="16"/>
          <w:color w:val="auto"/>
        </w:rPr>
        <w:t>Group, in accordance with section 240.13d-1 (b)(1)(ii)(J).</w:t>
      </w:r>
    </w:p>
    <w:p>
      <w:pPr>
        <w:sectPr>
          <w:pgSz w:w="11900" w:h="16838" w:orient="portrait"/>
          <w:cols w:equalWidth="0" w:num="1">
            <w:col w:w="10139"/>
          </w:cols>
          <w:pgMar w:left="320" w:top="690" w:right="1440" w:bottom="1002"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SCHEDULE 13G/A</w:t>
      </w:r>
    </w:p>
    <w:p>
      <w:pPr>
        <w:spacing w:after="0" w:line="201"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Issuer: TechnipFMC PLC</w:t>
      </w:r>
      <w:r>
        <w:rPr>
          <w:sz w:val="20"/>
          <w:szCs w:val="20"/>
          <w:color w:val="auto"/>
        </w:rPr>
        <w:tab/>
      </w:r>
      <w:r>
        <w:rPr>
          <w:rFonts w:ascii="Courier New" w:cs="Courier New" w:eastAsia="Courier New" w:hAnsi="Courier New"/>
          <w:sz w:val="16"/>
          <w:szCs w:val="16"/>
          <w:color w:val="auto"/>
        </w:rPr>
        <w:t>CUSIP No.: G87110105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ind w:left="860" w:right="1599"/>
        <w:spacing w:after="0" w:line="344" w:lineRule="auto"/>
        <w:rPr>
          <w:sz w:val="20"/>
          <w:szCs w:val="20"/>
          <w:color w:val="auto"/>
        </w:rPr>
      </w:pPr>
      <w:r>
        <w:rPr>
          <w:rFonts w:ascii="Courier New" w:cs="Courier New" w:eastAsia="Courier New" w:hAnsi="Courier New"/>
          <w:sz w:val="16"/>
          <w:szCs w:val="16"/>
          <w:color w:val="auto"/>
        </w:rPr>
        <w:t>If this statement is being filed to report the fact that as of the date hereof the reporting person has ceased to be the beneficial owner of more than five percent of the class of securities, check the following: [x]</w:t>
      </w:r>
    </w:p>
    <w:p>
      <w:pPr>
        <w:spacing w:after="0" w:line="23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ind w:left="860" w:right="1919" w:hanging="842"/>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66"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201" w:lineRule="exact"/>
        <w:rPr>
          <w:sz w:val="20"/>
          <w:szCs w:val="20"/>
          <w:color w:val="auto"/>
        </w:rPr>
      </w:pPr>
    </w:p>
    <w:p>
      <w:pPr>
        <w:ind w:left="860" w:right="1399"/>
        <w:spacing w:after="0" w:line="256"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held in the ordinary course of business and were not acquired and are not held for the purpose of or with the effect of changing or influencing the control of the issuer of such securities and were not acquired and are not held in connection with or as a participant in any transaction having that purpose of effect.</w:t>
      </w:r>
    </w:p>
    <w:p>
      <w:pPr>
        <w:spacing w:after="0" w:line="9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297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ectPr>
          <w:pgSz w:w="11900" w:h="16838" w:orient="portrait"/>
          <w:cols w:equalWidth="0" w:num="1">
            <w:col w:w="10139"/>
          </w:cols>
          <w:pgMar w:left="320" w:top="690" w:right="1440" w:bottom="1440" w:gutter="0" w:footer="0" w:header="0"/>
        </w:sectPr>
      </w:pPr>
    </w:p>
    <w:p>
      <w:pPr>
        <w:spacing w:after="0" w:line="6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 w:lineRule="exact"/>
        <w:rPr>
          <w:sz w:val="20"/>
          <w:szCs w:val="20"/>
          <w:color w:val="auto"/>
        </w:rPr>
      </w:pPr>
      <w:r>
        <w:rPr>
          <w:sz w:val="20"/>
          <w:szCs w:val="20"/>
          <w:color w:val="auto"/>
        </w:rPr>
        <w:br w:type="column"/>
      </w:r>
    </w:p>
    <w:p>
      <w:pPr>
        <w:spacing w:after="0" w:line="4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10, 2021</w:t>
      </w:r>
    </w:p>
    <w:p>
      <w:pPr>
        <w:spacing w:after="0" w:line="222" w:lineRule="exact"/>
        <w:rPr>
          <w:sz w:val="20"/>
          <w:szCs w:val="20"/>
          <w:color w:val="auto"/>
        </w:rPr>
      </w:pPr>
    </w:p>
    <w:p>
      <w:pPr>
        <w:sectPr>
          <w:pgSz w:w="11900" w:h="16838" w:orient="portrait"/>
          <w:cols w:equalWidth="0" w:num="2">
            <w:col w:w="980" w:space="720"/>
            <w:col w:w="8439"/>
          </w:cols>
          <w:pgMar w:left="320" w:top="690" w:right="1440" w:bottom="1440" w:gutter="0" w:footer="0" w:header="0"/>
          <w:type w:val="continuous"/>
        </w:sectPr>
      </w:pP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/s/ David O'Connor</w:t>
      </w:r>
    </w:p>
    <w:p>
      <w:pPr>
        <w:spacing w:after="0" w:line="200" w:lineRule="exact"/>
        <w:rPr>
          <w:sz w:val="20"/>
          <w:szCs w:val="20"/>
          <w:color w:val="auto"/>
        </w:rPr>
      </w:pPr>
    </w:p>
    <w:p>
      <w:pPr>
        <w:sectPr>
          <w:pgSz w:w="11900" w:h="16838" w:orient="portrait"/>
          <w:cols w:equalWidth="0" w:num="2">
            <w:col w:w="1060" w:space="640"/>
            <w:col w:w="8439"/>
          </w:cols>
          <w:pgMar w:left="320" w:top="690"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David O'Connor, Senior Vice President</w:t>
      </w:r>
    </w:p>
    <w:sectPr>
      <w:pgSz w:w="11900" w:h="16838" w:orient="portrait"/>
      <w:cols w:equalWidth="0" w:num="2">
        <w:col w:w="1160" w:space="540"/>
        <w:col w:w="8439"/>
      </w:cols>
      <w:pgMar w:left="320" w:top="69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bullet"/>
      <w:start w:val="1"/>
    </w:lvl>
  </w:abstractNum>
  <w:abstractNum w:abstractNumId="2">
    <w:nsid w:val="41B71EFB"/>
    <w:multiLevelType w:val="hybridMultilevel"/>
    <w:lvl w:ilvl="0">
      <w:lvlJc w:val="left"/>
      <w:lvlText w:val="2"/>
      <w:numFmt w:val="bullet"/>
      <w:start w:val="1"/>
    </w:lvl>
  </w:abstractNum>
  <w:abstractNum w:abstractNumId="3">
    <w:nsid w:val="79E2A9E3"/>
    <w:multiLevelType w:val="hybridMultilevel"/>
    <w:lvl w:ilvl="0">
      <w:lvlJc w:val="left"/>
      <w:lvlText w:val="3"/>
      <w:numFmt w:val="bullet"/>
      <w:start w:val="1"/>
    </w:lvl>
  </w:abstractNum>
  <w:abstractNum w:abstractNumId="4">
    <w:nsid w:val="7545E146"/>
    <w:multiLevelType w:val="hybridMultilevel"/>
    <w:lvl w:ilvl="0">
      <w:lvlJc w:val="left"/>
      <w:lvlText w:val="4"/>
      <w:numFmt w:val="bullet"/>
      <w:start w:val="1"/>
    </w:lvl>
  </w:abstractNum>
  <w:abstractNum w:abstractNumId="5">
    <w:nsid w:val="515F007C"/>
    <w:multiLevelType w:val="hybridMultilevel"/>
    <w:lvl w:ilvl="0">
      <w:lvlJc w:val="left"/>
      <w:lvlText w:val="9"/>
      <w:numFmt w:val="bullet"/>
      <w:start w:val="1"/>
    </w:lvl>
  </w:abstractNum>
  <w:abstractNum w:abstractNumId="6">
    <w:nsid w:val="5BD062C2"/>
    <w:multiLevelType w:val="hybridMultilevel"/>
    <w:lvl w:ilvl="0">
      <w:lvlJc w:val="left"/>
      <w:lvlText w:val="%1"/>
      <w:numFmt w:val="decimal"/>
      <w:start w:val="10"/>
    </w:lvl>
  </w:abstractNum>
  <w:abstractNum w:abstractNumId="7">
    <w:nsid w:val="12200854"/>
    <w:multiLevelType w:val="hybridMultilevel"/>
    <w:lvl w:ilvl="0">
      <w:lvlJc w:val="left"/>
      <w:lvlText w:val="(%1)"/>
      <w:numFmt w:val="lowerLetter"/>
      <w:start w:val="1"/>
    </w:lvl>
  </w:abstractNum>
  <w:abstractNum w:abstractNumId="8">
    <w:nsid w:val="4DB127F8"/>
    <w:multiLevelType w:val="hybridMultilevel"/>
    <w:lvl w:ilvl="0">
      <w:lvlJc w:val="left"/>
      <w:lvlText w:val="(%1)"/>
      <w:numFmt w:val="lowerLetter"/>
      <w:start w:val="1"/>
    </w:lvl>
  </w:abstractNum>
  <w:abstractNum w:abstractNumId="9">
    <w:nsid w:val="216231B"/>
    <w:multiLevelType w:val="hybridMultilevel"/>
    <w:lvl w:ilvl="0">
      <w:lvlJc w:val="left"/>
      <w:lvlText w:val="(%1)"/>
      <w:numFmt w:val="lowerLetter"/>
      <w:start w:val="1"/>
    </w:lvl>
  </w:abstractNum>
  <w:abstractNum w:abstractNumId="10">
    <w:nsid w:val="1F16E9E8"/>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2021-02-10T14:46:59Z</dcterms:created>
  <dcterms:modified xsi:type="dcterms:W3CDTF">2021-02-10T14:46:59Z</dcterms:modified>
</cp:coreProperties>
</file>