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243205</wp:posOffset>
            </wp:positionH>
            <wp:positionV relativeFrom="page">
              <wp:posOffset>620395</wp:posOffset>
            </wp:positionV>
            <wp:extent cx="707517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75170" cy="8890"/>
                    </a:xfrm>
                    <a:prstGeom prst="rect">
                      <a:avLst/>
                    </a:prstGeom>
                    <a:noFill/>
                  </pic:spPr>
                </pic:pic>
              </a:graphicData>
            </a:graphic>
          </wp:anchor>
        </w:drawing>
        <w:drawing>
          <wp:anchor simplePos="0" relativeHeight="251657728" behindDoc="1" locked="0" layoutInCell="0" allowOverlap="1">
            <wp:simplePos x="0" y="0"/>
            <wp:positionH relativeFrom="page">
              <wp:posOffset>243205</wp:posOffset>
            </wp:positionH>
            <wp:positionV relativeFrom="page">
              <wp:posOffset>534670</wp:posOffset>
            </wp:positionV>
            <wp:extent cx="707517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075170" cy="8890"/>
                    </a:xfrm>
                    <a:prstGeom prst="rect">
                      <a:avLst/>
                    </a:prstGeom>
                    <a:noFill/>
                  </pic:spPr>
                </pic:pic>
              </a:graphicData>
            </a:graphic>
          </wp:anchor>
        </w:drawing>
        <w:t>UNITED STATES</w:t>
      </w:r>
    </w:p>
    <w:p>
      <w:pPr>
        <w:spacing w:after="0" w:line="18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172"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121"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FORM 8-K</w:t>
      </w:r>
    </w:p>
    <w:p>
      <w:pPr>
        <w:spacing w:after="0" w:line="162"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CURRENT REPORT</w:t>
      </w:r>
    </w:p>
    <w:p>
      <w:pPr>
        <w:spacing w:after="0" w:line="136"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Pursuant to Section 13 or 15(d) of</w:t>
      </w:r>
    </w:p>
    <w:p>
      <w:pPr>
        <w:spacing w:after="0" w:line="10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the Securities Exchange Act of 1934</w:t>
      </w:r>
    </w:p>
    <w:p>
      <w:pPr>
        <w:spacing w:after="0" w:line="10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2017</w:t>
      </w:r>
    </w:p>
    <w:p>
      <w:pPr>
        <w:spacing w:after="0" w:line="108"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Report (Date of earliest event reported)</w:t>
      </w:r>
    </w:p>
    <w:p>
      <w:pPr>
        <w:spacing w:after="0" w:line="200" w:lineRule="exact"/>
        <w:rPr>
          <w:sz w:val="24"/>
          <w:szCs w:val="24"/>
          <w:color w:val="auto"/>
        </w:rPr>
      </w:pPr>
    </w:p>
    <w:p>
      <w:pPr>
        <w:spacing w:after="0" w:line="224"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TechnipFMC plc</w:t>
      </w:r>
    </w:p>
    <w:p>
      <w:pPr>
        <w:spacing w:after="0" w:line="15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pacing w:after="0" w:line="200" w:lineRule="exact"/>
        <w:rPr>
          <w:sz w:val="24"/>
          <w:szCs w:val="24"/>
          <w:color w:val="auto"/>
        </w:rPr>
      </w:pPr>
    </w:p>
    <w:p>
      <w:pPr>
        <w:spacing w:after="0" w:line="278" w:lineRule="exact"/>
        <w:rPr>
          <w:sz w:val="24"/>
          <w:szCs w:val="24"/>
          <w:color w:val="auto"/>
        </w:rPr>
      </w:pPr>
    </w:p>
    <w:tbl>
      <w:tblPr>
        <w:tblLayout w:type="fixed"/>
        <w:tblInd w:w="760" w:type="dxa"/>
        <w:tblCellMar>
          <w:top w:w="0" w:type="dxa"/>
          <w:left w:w="0" w:type="dxa"/>
          <w:bottom w:w="0" w:type="dxa"/>
          <w:right w:w="0" w:type="dxa"/>
        </w:tblCellMar>
      </w:tblPr>
      <w:tr>
        <w:trPr>
          <w:trHeight w:val="234"/>
        </w:trPr>
        <w:tc>
          <w:tcPr>
            <w:tcW w:w="3060" w:type="dxa"/>
            <w:vAlign w:val="bottom"/>
          </w:tcPr>
          <w:p>
            <w:pPr>
              <w:jc w:val="center"/>
              <w:ind w:right="137"/>
              <w:spacing w:after="0"/>
              <w:rPr>
                <w:sz w:val="20"/>
                <w:szCs w:val="20"/>
                <w:color w:val="auto"/>
              </w:rPr>
            </w:pPr>
            <w:r>
              <w:rPr>
                <w:rFonts w:ascii="Arial" w:cs="Arial" w:eastAsia="Arial" w:hAnsi="Arial"/>
                <w:sz w:val="18"/>
                <w:szCs w:val="18"/>
                <w:b w:val="1"/>
                <w:bCs w:val="1"/>
                <w:color w:val="auto"/>
                <w:w w:val="89"/>
              </w:rPr>
              <w:t>England and Wales</w:t>
            </w:r>
          </w:p>
        </w:tc>
        <w:tc>
          <w:tcPr>
            <w:tcW w:w="3900" w:type="dxa"/>
            <w:vAlign w:val="bottom"/>
          </w:tcPr>
          <w:p>
            <w:pPr>
              <w:jc w:val="center"/>
              <w:spacing w:after="0"/>
              <w:rPr>
                <w:sz w:val="20"/>
                <w:szCs w:val="20"/>
                <w:color w:val="auto"/>
              </w:rPr>
            </w:pPr>
            <w:r>
              <w:rPr>
                <w:rFonts w:ascii="Arial" w:cs="Arial" w:eastAsia="Arial" w:hAnsi="Arial"/>
                <w:sz w:val="18"/>
                <w:szCs w:val="18"/>
                <w:b w:val="1"/>
                <w:bCs w:val="1"/>
                <w:color w:val="auto"/>
                <w:w w:val="90"/>
              </w:rPr>
              <w:t>001-37983</w:t>
            </w:r>
          </w:p>
        </w:tc>
        <w:tc>
          <w:tcPr>
            <w:tcW w:w="2580" w:type="dxa"/>
            <w:vAlign w:val="bottom"/>
          </w:tcPr>
          <w:p>
            <w:pPr>
              <w:jc w:val="right"/>
              <w:ind w:right="519"/>
              <w:spacing w:after="0"/>
              <w:rPr>
                <w:sz w:val="20"/>
                <w:szCs w:val="20"/>
                <w:color w:val="auto"/>
              </w:rPr>
            </w:pPr>
            <w:r>
              <w:rPr>
                <w:rFonts w:ascii="Arial" w:cs="Arial" w:eastAsia="Arial" w:hAnsi="Arial"/>
                <w:sz w:val="18"/>
                <w:szCs w:val="18"/>
                <w:b w:val="1"/>
                <w:bCs w:val="1"/>
                <w:color w:val="auto"/>
              </w:rPr>
              <w:t>98-1283037</w:t>
            </w:r>
          </w:p>
        </w:tc>
      </w:tr>
      <w:tr>
        <w:trPr>
          <w:trHeight w:val="285"/>
        </w:trPr>
        <w:tc>
          <w:tcPr>
            <w:tcW w:w="3060" w:type="dxa"/>
            <w:vAlign w:val="bottom"/>
          </w:tcPr>
          <w:p>
            <w:pPr>
              <w:jc w:val="center"/>
              <w:ind w:right="137"/>
              <w:spacing w:after="0"/>
              <w:rPr>
                <w:sz w:val="20"/>
                <w:szCs w:val="20"/>
                <w:color w:val="auto"/>
              </w:rPr>
            </w:pPr>
            <w:r>
              <w:rPr>
                <w:rFonts w:ascii="Arial" w:cs="Arial" w:eastAsia="Arial" w:hAnsi="Arial"/>
                <w:sz w:val="14"/>
                <w:szCs w:val="14"/>
                <w:color w:val="auto"/>
                <w:w w:val="95"/>
              </w:rPr>
              <w:t>(State or other jurisdiction of incorporation)</w:t>
            </w:r>
          </w:p>
        </w:tc>
        <w:tc>
          <w:tcPr>
            <w:tcW w:w="3900" w:type="dxa"/>
            <w:vAlign w:val="bottom"/>
          </w:tcPr>
          <w:p>
            <w:pPr>
              <w:jc w:val="center"/>
              <w:ind w:right="17"/>
              <w:spacing w:after="0"/>
              <w:rPr>
                <w:sz w:val="20"/>
                <w:szCs w:val="20"/>
                <w:color w:val="auto"/>
              </w:rPr>
            </w:pPr>
            <w:r>
              <w:rPr>
                <w:rFonts w:ascii="Arial" w:cs="Arial" w:eastAsia="Arial" w:hAnsi="Arial"/>
                <w:sz w:val="14"/>
                <w:szCs w:val="14"/>
                <w:color w:val="auto"/>
                <w:w w:val="96"/>
              </w:rPr>
              <w:t>(Commission File Number)</w:t>
            </w:r>
          </w:p>
        </w:tc>
        <w:tc>
          <w:tcPr>
            <w:tcW w:w="2580" w:type="dxa"/>
            <w:vAlign w:val="bottom"/>
          </w:tcPr>
          <w:p>
            <w:pPr>
              <w:jc w:val="center"/>
              <w:ind w:left="419"/>
              <w:spacing w:after="0"/>
              <w:rPr>
                <w:sz w:val="20"/>
                <w:szCs w:val="20"/>
                <w:color w:val="auto"/>
              </w:rPr>
            </w:pPr>
            <w:r>
              <w:rPr>
                <w:rFonts w:ascii="Arial" w:cs="Arial" w:eastAsia="Arial" w:hAnsi="Arial"/>
                <w:sz w:val="14"/>
                <w:szCs w:val="14"/>
                <w:color w:val="auto"/>
                <w:w w:val="96"/>
              </w:rPr>
              <w:t>(I.R.S. Employer Identification No.)</w:t>
            </w:r>
          </w:p>
        </w:tc>
      </w:tr>
      <w:tr>
        <w:trPr>
          <w:trHeight w:val="399"/>
        </w:trPr>
        <w:tc>
          <w:tcPr>
            <w:tcW w:w="3060" w:type="dxa"/>
            <w:vAlign w:val="bottom"/>
          </w:tcPr>
          <w:p>
            <w:pPr>
              <w:jc w:val="center"/>
              <w:ind w:right="697"/>
              <w:spacing w:after="0"/>
              <w:rPr>
                <w:sz w:val="20"/>
                <w:szCs w:val="20"/>
                <w:color w:val="auto"/>
              </w:rPr>
            </w:pPr>
            <w:r>
              <w:rPr>
                <w:rFonts w:ascii="Arial" w:cs="Arial" w:eastAsia="Arial" w:hAnsi="Arial"/>
                <w:sz w:val="18"/>
                <w:szCs w:val="18"/>
                <w:b w:val="1"/>
                <w:bCs w:val="1"/>
                <w:color w:val="auto"/>
                <w:w w:val="91"/>
              </w:rPr>
              <w:t>One St. Paul’s Churchyard</w:t>
            </w:r>
          </w:p>
        </w:tc>
        <w:tc>
          <w:tcPr>
            <w:tcW w:w="3900" w:type="dxa"/>
            <w:vAlign w:val="bottom"/>
          </w:tcPr>
          <w:p>
            <w:pPr>
              <w:spacing w:after="0"/>
              <w:rPr>
                <w:sz w:val="24"/>
                <w:szCs w:val="24"/>
                <w:color w:val="auto"/>
              </w:rPr>
            </w:pPr>
          </w:p>
        </w:tc>
        <w:tc>
          <w:tcPr>
            <w:tcW w:w="2580" w:type="dxa"/>
            <w:vAlign w:val="bottom"/>
          </w:tcPr>
          <w:p>
            <w:pPr>
              <w:spacing w:after="0"/>
              <w:rPr>
                <w:sz w:val="24"/>
                <w:szCs w:val="24"/>
                <w:color w:val="auto"/>
              </w:rPr>
            </w:pPr>
          </w:p>
        </w:tc>
      </w:tr>
      <w:tr>
        <w:trPr>
          <w:trHeight w:val="261"/>
        </w:trPr>
        <w:tc>
          <w:tcPr>
            <w:tcW w:w="3060" w:type="dxa"/>
            <w:vAlign w:val="bottom"/>
          </w:tcPr>
          <w:p>
            <w:pPr>
              <w:jc w:val="center"/>
              <w:ind w:right="697"/>
              <w:spacing w:after="0"/>
              <w:rPr>
                <w:sz w:val="20"/>
                <w:szCs w:val="20"/>
                <w:color w:val="auto"/>
              </w:rPr>
            </w:pPr>
            <w:r>
              <w:rPr>
                <w:rFonts w:ascii="Arial" w:cs="Arial" w:eastAsia="Arial" w:hAnsi="Arial"/>
                <w:sz w:val="18"/>
                <w:szCs w:val="18"/>
                <w:b w:val="1"/>
                <w:bCs w:val="1"/>
                <w:color w:val="auto"/>
                <w:w w:val="91"/>
              </w:rPr>
              <w:t>London, United Kingdom</w:t>
            </w:r>
          </w:p>
        </w:tc>
        <w:tc>
          <w:tcPr>
            <w:tcW w:w="3900" w:type="dxa"/>
            <w:vAlign w:val="bottom"/>
          </w:tcPr>
          <w:p>
            <w:pPr>
              <w:spacing w:after="0"/>
              <w:rPr>
                <w:sz w:val="22"/>
                <w:szCs w:val="22"/>
                <w:color w:val="auto"/>
              </w:rPr>
            </w:pPr>
          </w:p>
        </w:tc>
        <w:tc>
          <w:tcPr>
            <w:tcW w:w="2580" w:type="dxa"/>
            <w:vAlign w:val="bottom"/>
          </w:tcPr>
          <w:p>
            <w:pPr>
              <w:jc w:val="center"/>
              <w:ind w:left="859"/>
              <w:spacing w:after="0"/>
              <w:rPr>
                <w:sz w:val="20"/>
                <w:szCs w:val="20"/>
                <w:color w:val="auto"/>
              </w:rPr>
            </w:pPr>
            <w:r>
              <w:rPr>
                <w:rFonts w:ascii="Arial" w:cs="Arial" w:eastAsia="Arial" w:hAnsi="Arial"/>
                <w:sz w:val="18"/>
                <w:szCs w:val="18"/>
                <w:b w:val="1"/>
                <w:bCs w:val="1"/>
                <w:color w:val="auto"/>
                <w:w w:val="97"/>
              </w:rPr>
              <w:t>EC4M 8AP</w:t>
            </w:r>
          </w:p>
        </w:tc>
      </w:tr>
      <w:tr>
        <w:trPr>
          <w:trHeight w:val="285"/>
        </w:trPr>
        <w:tc>
          <w:tcPr>
            <w:tcW w:w="3060" w:type="dxa"/>
            <w:vAlign w:val="bottom"/>
          </w:tcPr>
          <w:p>
            <w:pPr>
              <w:jc w:val="center"/>
              <w:ind w:right="697"/>
              <w:spacing w:after="0"/>
              <w:rPr>
                <w:sz w:val="20"/>
                <w:szCs w:val="20"/>
                <w:color w:val="auto"/>
              </w:rPr>
            </w:pPr>
            <w:r>
              <w:rPr>
                <w:rFonts w:ascii="Arial" w:cs="Arial" w:eastAsia="Arial" w:hAnsi="Arial"/>
                <w:sz w:val="14"/>
                <w:szCs w:val="14"/>
                <w:color w:val="auto"/>
                <w:w w:val="95"/>
              </w:rPr>
              <w:t>(Address of principal executive offices)</w:t>
            </w:r>
          </w:p>
        </w:tc>
        <w:tc>
          <w:tcPr>
            <w:tcW w:w="3900" w:type="dxa"/>
            <w:vAlign w:val="bottom"/>
          </w:tcPr>
          <w:p>
            <w:pPr>
              <w:spacing w:after="0"/>
              <w:rPr>
                <w:sz w:val="24"/>
                <w:szCs w:val="24"/>
                <w:color w:val="auto"/>
              </w:rPr>
            </w:pPr>
          </w:p>
        </w:tc>
        <w:tc>
          <w:tcPr>
            <w:tcW w:w="2580" w:type="dxa"/>
            <w:vAlign w:val="bottom"/>
          </w:tcPr>
          <w:p>
            <w:pPr>
              <w:jc w:val="center"/>
              <w:ind w:left="859"/>
              <w:spacing w:after="0"/>
              <w:rPr>
                <w:sz w:val="20"/>
                <w:szCs w:val="20"/>
                <w:color w:val="auto"/>
              </w:rPr>
            </w:pPr>
            <w:r>
              <w:rPr>
                <w:rFonts w:ascii="Arial" w:cs="Arial" w:eastAsia="Arial" w:hAnsi="Arial"/>
                <w:sz w:val="14"/>
                <w:szCs w:val="14"/>
                <w:color w:val="auto"/>
                <w:w w:val="96"/>
              </w:rPr>
              <w:t>(Zip Code)</w:t>
            </w:r>
          </w:p>
        </w:tc>
      </w:tr>
      <w:tr>
        <w:trPr>
          <w:trHeight w:val="336"/>
        </w:trPr>
        <w:tc>
          <w:tcPr>
            <w:tcW w:w="3060" w:type="dxa"/>
            <w:vAlign w:val="bottom"/>
          </w:tcPr>
          <w:p>
            <w:pPr>
              <w:spacing w:after="0"/>
              <w:rPr>
                <w:sz w:val="24"/>
                <w:szCs w:val="24"/>
                <w:color w:val="auto"/>
              </w:rPr>
            </w:pPr>
          </w:p>
        </w:tc>
        <w:tc>
          <w:tcPr>
            <w:tcW w:w="3900" w:type="dxa"/>
            <w:vAlign w:val="bottom"/>
          </w:tcPr>
          <w:p>
            <w:pPr>
              <w:jc w:val="center"/>
              <w:ind w:right="17"/>
              <w:spacing w:after="0"/>
              <w:rPr>
                <w:sz w:val="20"/>
                <w:szCs w:val="20"/>
                <w:color w:val="auto"/>
              </w:rPr>
            </w:pPr>
            <w:r>
              <w:rPr>
                <w:rFonts w:ascii="Arial" w:cs="Arial" w:eastAsia="Arial" w:hAnsi="Arial"/>
                <w:sz w:val="18"/>
                <w:szCs w:val="18"/>
                <w:b w:val="1"/>
                <w:bCs w:val="1"/>
                <w:color w:val="auto"/>
                <w:w w:val="90"/>
              </w:rPr>
              <w:t>+44 203429-3950</w:t>
            </w:r>
          </w:p>
        </w:tc>
        <w:tc>
          <w:tcPr>
            <w:tcW w:w="2580" w:type="dxa"/>
            <w:vAlign w:val="bottom"/>
          </w:tcPr>
          <w:p>
            <w:pPr>
              <w:spacing w:after="0"/>
              <w:rPr>
                <w:sz w:val="24"/>
                <w:szCs w:val="24"/>
                <w:color w:val="auto"/>
              </w:rPr>
            </w:pPr>
          </w:p>
        </w:tc>
      </w:tr>
      <w:tr>
        <w:trPr>
          <w:trHeight w:val="272"/>
        </w:trPr>
        <w:tc>
          <w:tcPr>
            <w:tcW w:w="3060" w:type="dxa"/>
            <w:vAlign w:val="bottom"/>
          </w:tcPr>
          <w:p>
            <w:pPr>
              <w:spacing w:after="0"/>
              <w:rPr>
                <w:sz w:val="23"/>
                <w:szCs w:val="23"/>
                <w:color w:val="auto"/>
              </w:rPr>
            </w:pPr>
          </w:p>
        </w:tc>
        <w:tc>
          <w:tcPr>
            <w:tcW w:w="3900" w:type="dxa"/>
            <w:vAlign w:val="bottom"/>
          </w:tcPr>
          <w:p>
            <w:pPr>
              <w:jc w:val="center"/>
              <w:ind w:right="17"/>
              <w:spacing w:after="0"/>
              <w:rPr>
                <w:sz w:val="20"/>
                <w:szCs w:val="20"/>
                <w:color w:val="auto"/>
              </w:rPr>
            </w:pPr>
            <w:r>
              <w:rPr>
                <w:rFonts w:ascii="Arial" w:cs="Arial" w:eastAsia="Arial" w:hAnsi="Arial"/>
                <w:sz w:val="14"/>
                <w:szCs w:val="14"/>
                <w:color w:val="auto"/>
                <w:w w:val="92"/>
              </w:rPr>
              <w:t>(Registrant’s telephone number, including area code)</w:t>
            </w:r>
          </w:p>
        </w:tc>
        <w:tc>
          <w:tcPr>
            <w:tcW w:w="2580" w:type="dxa"/>
            <w:vAlign w:val="bottom"/>
          </w:tcPr>
          <w:p>
            <w:pPr>
              <w:spacing w:after="0"/>
              <w:rPr>
                <w:sz w:val="23"/>
                <w:szCs w:val="23"/>
                <w:color w:val="auto"/>
              </w:rPr>
            </w:pPr>
          </w:p>
        </w:tc>
      </w:tr>
      <w:tr>
        <w:trPr>
          <w:trHeight w:val="323"/>
        </w:trPr>
        <w:tc>
          <w:tcPr>
            <w:tcW w:w="3060" w:type="dxa"/>
            <w:vAlign w:val="bottom"/>
          </w:tcPr>
          <w:p>
            <w:pPr>
              <w:spacing w:after="0"/>
              <w:rPr>
                <w:sz w:val="24"/>
                <w:szCs w:val="24"/>
                <w:color w:val="auto"/>
              </w:rPr>
            </w:pPr>
          </w:p>
        </w:tc>
        <w:tc>
          <w:tcPr>
            <w:tcW w:w="3900" w:type="dxa"/>
            <w:vAlign w:val="bottom"/>
          </w:tcPr>
          <w:p>
            <w:pPr>
              <w:jc w:val="center"/>
              <w:spacing w:after="0"/>
              <w:rPr>
                <w:sz w:val="20"/>
                <w:szCs w:val="20"/>
                <w:color w:val="auto"/>
              </w:rPr>
            </w:pPr>
            <w:r>
              <w:rPr>
                <w:rFonts w:ascii="Arial" w:cs="Arial" w:eastAsia="Arial" w:hAnsi="Arial"/>
                <w:sz w:val="18"/>
                <w:szCs w:val="18"/>
                <w:b w:val="1"/>
                <w:bCs w:val="1"/>
                <w:color w:val="auto"/>
                <w:w w:val="90"/>
              </w:rPr>
              <w:t>Not Applicable</w:t>
            </w:r>
          </w:p>
        </w:tc>
        <w:tc>
          <w:tcPr>
            <w:tcW w:w="2580" w:type="dxa"/>
            <w:vAlign w:val="bottom"/>
          </w:tcPr>
          <w:p>
            <w:pPr>
              <w:spacing w:after="0"/>
              <w:rPr>
                <w:sz w:val="24"/>
                <w:szCs w:val="24"/>
                <w:color w:val="auto"/>
              </w:rPr>
            </w:pPr>
          </w:p>
        </w:tc>
      </w:tr>
    </w:tbl>
    <w:p>
      <w:pPr>
        <w:spacing w:after="0" w:line="103" w:lineRule="exact"/>
        <w:rPr>
          <w:sz w:val="24"/>
          <w:szCs w:val="24"/>
          <w:color w:val="auto"/>
        </w:rPr>
      </w:pPr>
    </w:p>
    <w:p>
      <w:pPr>
        <w:jc w:val="center"/>
        <w:ind w:right="-19"/>
        <w:spacing w:after="0"/>
        <w:rPr>
          <w:sz w:val="20"/>
          <w:szCs w:val="20"/>
          <w:color w:val="auto"/>
        </w:rPr>
      </w:pPr>
      <w:r>
        <w:rPr>
          <w:rFonts w:ascii="Arial" w:cs="Arial" w:eastAsia="Arial" w:hAnsi="Arial"/>
          <w:sz w:val="14"/>
          <w:szCs w:val="14"/>
          <w:color w:val="auto"/>
        </w:rPr>
        <w:t>(Former name or former address, if changed since last report)</w:t>
      </w:r>
    </w:p>
    <w:p>
      <w:pPr>
        <w:spacing w:after="0" w:line="21" w:lineRule="exact"/>
        <w:rPr>
          <w:sz w:val="24"/>
          <w:szCs w:val="24"/>
          <w:color w:val="auto"/>
        </w:rPr>
      </w:pPr>
    </w:p>
    <w:p>
      <w:pPr>
        <w:ind w:right="100"/>
        <w:spacing w:after="0" w:line="259"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86" w:lineRule="exact"/>
        <w:rPr>
          <w:sz w:val="24"/>
          <w:szCs w:val="24"/>
          <w:color w:val="auto"/>
        </w:rPr>
      </w:pPr>
    </w:p>
    <w:p>
      <w:pPr>
        <w:spacing w:after="0"/>
        <w:rPr>
          <w:sz w:val="20"/>
          <w:szCs w:val="20"/>
          <w:color w:val="auto"/>
        </w:rPr>
      </w:pPr>
      <w:r>
        <w:rPr>
          <w:rFonts w:ascii="Arial" w:cs="Arial" w:eastAsia="Arial" w:hAnsi="Arial"/>
          <w:sz w:val="18"/>
          <w:szCs w:val="18"/>
          <w:color w:val="auto"/>
        </w:rPr>
        <w:t>o Written communications pursuant to Rule 425 under the Securities Act (17 CFR 230.425)</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Soliciting material pursuant to Rule 14a-12 under the Exchange Act (17 CFR 240.14a-12)</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Pre-commencement communications pursuant to Rule 14d-2(b) under the Exchange Act (17 CFR 240.14d-2(b))</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Pre-commencement communications pursuant to Rule 13e-4(c) under the Exchange Act (17 CFR 240.13e-4(c))</w:t>
      </w:r>
    </w:p>
    <w:p>
      <w:pPr>
        <w:spacing w:after="0" w:line="306"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84"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31" w:lineRule="exact"/>
        <w:rPr>
          <w:sz w:val="24"/>
          <w:szCs w:val="24"/>
          <w:color w:val="auto"/>
        </w:rPr>
      </w:pPr>
    </w:p>
    <w:p>
      <w:pPr>
        <w:ind w:right="12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90805</wp:posOffset>
            </wp:positionH>
            <wp:positionV relativeFrom="paragraph">
              <wp:posOffset>151765</wp:posOffset>
            </wp:positionV>
            <wp:extent cx="70751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075170" cy="8890"/>
                    </a:xfrm>
                    <a:prstGeom prst="rect">
                      <a:avLst/>
                    </a:prstGeom>
                    <a:noFill/>
                  </pic:spPr>
                </pic:pic>
              </a:graphicData>
            </a:graphic>
          </wp:anchor>
        </w:drawing>
        <w:drawing>
          <wp:anchor simplePos="0" relativeHeight="251657728" behindDoc="1" locked="0" layoutInCell="0" allowOverlap="1">
            <wp:simplePos x="0" y="0"/>
            <wp:positionH relativeFrom="column">
              <wp:posOffset>90805</wp:posOffset>
            </wp:positionH>
            <wp:positionV relativeFrom="paragraph">
              <wp:posOffset>66040</wp:posOffset>
            </wp:positionV>
            <wp:extent cx="70751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75170" cy="8890"/>
                    </a:xfrm>
                    <a:prstGeom prst="rect">
                      <a:avLst/>
                    </a:prstGeom>
                    <a:noFill/>
                  </pic:spPr>
                </pic:pic>
              </a:graphicData>
            </a:graphic>
          </wp:anchor>
        </w:drawing>
      </w:r>
    </w:p>
    <w:p>
      <w:pPr>
        <w:sectPr>
          <w:pgSz w:w="11900" w:h="16838" w:orient="portrait"/>
          <w:cols w:equalWidth="0" w:num="1">
            <w:col w:w="11400"/>
          </w:cols>
          <w:pgMar w:left="240" w:top="1260" w:right="259" w:bottom="1440" w:gutter="0" w:footer="0" w:header="0"/>
        </w:sectPr>
      </w:pPr>
    </w:p>
    <w:bookmarkStart w:id="1" w:name="page2"/>
    <w:bookmarkEnd w:id="1"/>
    <w:p>
      <w:pPr>
        <w:ind w:left="1060" w:right="200" w:hanging="1039"/>
        <w:spacing w:after="0" w:line="282" w:lineRule="auto"/>
        <w:tabs>
          <w:tab w:leader="none" w:pos="1040" w:val="left"/>
        </w:tabs>
        <w:rPr>
          <w:sz w:val="20"/>
          <w:szCs w:val="20"/>
          <w:color w:val="auto"/>
        </w:rPr>
      </w:pPr>
      <w:r>
        <w:rPr>
          <w:rFonts w:ascii="Arial" w:cs="Arial" w:eastAsia="Arial" w:hAnsi="Arial"/>
          <w:sz w:val="18"/>
          <w:szCs w:val="18"/>
          <w:b w:val="1"/>
          <w:bCs w:val="1"/>
          <w:color w:val="auto"/>
        </w:rPr>
        <w:t>Item 5.02.</w:t>
        <w:tab/>
        <w:t>Departure of Directors or Certain Officers; Election of Directors; Appointment of Certain Officers; Compensatory Arrangements of Certain Officers</w:t>
      </w:r>
    </w:p>
    <w:p>
      <w:pPr>
        <w:spacing w:after="0" w:line="301"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Amendment to Pension Plans</w:t>
      </w:r>
    </w:p>
    <w:p>
      <w:pPr>
        <w:spacing w:after="0" w:line="7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December 31, 2017, FMC Technologies, Inc., a wholly owned subsidiary of TechnipFMC plc, amended the FMC Technologies, Inc. Amended and Restated FMC Technologies, Inc. Employees’ Retirement Program Part I Salaried and Nonunion Hourly Employees’ Retirement Plan and the FMC Technologies, Inc. Salaried Employees’ Equivalent Retirement Plan (the “Plans”) to freeze benefit accruals for all participants of the Plans as of December 31, 2017. After that date, participants in the Plans will no longer accrue any further benefits and participants’ benefits under the Plans will be determined based on credited service and eligible earnings as of December 31, 2017.</w:t>
      </w:r>
    </w:p>
    <w:p>
      <w:pPr>
        <w:sectPr>
          <w:pgSz w:w="11900" w:h="16838" w:orient="portrait"/>
          <w:cols w:equalWidth="0" w:num="1">
            <w:col w:w="11420"/>
          </w:cols>
          <w:pgMar w:left="240" w:top="580" w:right="2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83" w:lineRule="exact"/>
        <w:rPr>
          <w:sz w:val="20"/>
          <w:szCs w:val="20"/>
          <w:color w:val="auto"/>
        </w:rPr>
      </w:pPr>
    </w:p>
    <w:p>
      <w:pPr>
        <w:spacing w:after="0" w:line="38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371" w:lineRule="exact"/>
        <w:rPr>
          <w:sz w:val="20"/>
          <w:szCs w:val="20"/>
          <w:color w:val="auto"/>
        </w:rPr>
      </w:pPr>
    </w:p>
    <w:p>
      <w:pPr>
        <w:ind w:left="3240"/>
        <w:spacing w:after="0"/>
        <w:rPr>
          <w:sz w:val="20"/>
          <w:szCs w:val="20"/>
          <w:color w:val="auto"/>
        </w:rPr>
      </w:pPr>
      <w:r>
        <w:rPr>
          <w:rFonts w:ascii="Arial" w:cs="Arial" w:eastAsia="Arial" w:hAnsi="Arial"/>
          <w:sz w:val="18"/>
          <w:szCs w:val="18"/>
          <w:b w:val="1"/>
          <w:bCs w:val="1"/>
          <w:color w:val="auto"/>
        </w:rPr>
        <w:t>TechnipFMC plc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4640"/>
        <w:spacing w:after="0"/>
        <w:rPr>
          <w:sz w:val="20"/>
          <w:szCs w:val="20"/>
          <w:color w:val="auto"/>
        </w:rPr>
      </w:pPr>
      <w:r>
        <w:rPr>
          <w:rFonts w:ascii="Arial" w:cs="Arial" w:eastAsia="Arial" w:hAnsi="Arial"/>
          <w:sz w:val="18"/>
          <w:szCs w:val="18"/>
          <w:color w:val="auto"/>
        </w:rPr>
        <w:t>By: /s/ Dianne B. Ralston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2929255</wp:posOffset>
            </wp:positionH>
            <wp:positionV relativeFrom="paragraph">
              <wp:posOffset>31750</wp:posOffset>
            </wp:positionV>
            <wp:extent cx="380746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807460" cy="8890"/>
                    </a:xfrm>
                    <a:prstGeom prst="rect">
                      <a:avLst/>
                    </a:prstGeom>
                    <a:noFill/>
                  </pic:spPr>
                </pic:pic>
              </a:graphicData>
            </a:graphic>
          </wp:anchor>
        </w:drawing>
      </w:r>
    </w:p>
    <w:p>
      <w:pPr>
        <w:spacing w:after="0" w:line="57" w:lineRule="exact"/>
        <w:rPr>
          <w:sz w:val="20"/>
          <w:szCs w:val="20"/>
          <w:color w:val="auto"/>
        </w:rPr>
      </w:pPr>
    </w:p>
    <w:p>
      <w:pPr>
        <w:ind w:left="640"/>
        <w:spacing w:after="0"/>
        <w:tabs>
          <w:tab w:leader="none" w:pos="4620" w:val="left"/>
        </w:tabs>
        <w:rPr>
          <w:sz w:val="20"/>
          <w:szCs w:val="20"/>
          <w:color w:val="auto"/>
        </w:rPr>
      </w:pPr>
      <w:r>
        <w:rPr>
          <w:rFonts w:ascii="Arial" w:cs="Arial" w:eastAsia="Arial" w:hAnsi="Arial"/>
          <w:sz w:val="18"/>
          <w:szCs w:val="18"/>
          <w:color w:val="auto"/>
        </w:rPr>
        <w:t>Dated: January 2, 2018</w:t>
      </w:r>
      <w:r>
        <w:rPr>
          <w:sz w:val="20"/>
          <w:szCs w:val="20"/>
          <w:color w:val="auto"/>
        </w:rPr>
        <w:tab/>
      </w:r>
      <w:r>
        <w:rPr>
          <w:rFonts w:ascii="Arial" w:cs="Arial" w:eastAsia="Arial" w:hAnsi="Arial"/>
          <w:sz w:val="16"/>
          <w:szCs w:val="16"/>
          <w:color w:val="auto"/>
        </w:rPr>
        <w:t>Name: Dianne B. Ralston</w:t>
      </w:r>
    </w:p>
    <w:p>
      <w:pPr>
        <w:spacing w:after="0" w:line="63" w:lineRule="exact"/>
        <w:rPr>
          <w:sz w:val="20"/>
          <w:szCs w:val="20"/>
          <w:color w:val="auto"/>
        </w:rPr>
      </w:pPr>
    </w:p>
    <w:p>
      <w:pPr>
        <w:ind w:left="4640"/>
        <w:spacing w:after="0"/>
        <w:rPr>
          <w:sz w:val="20"/>
          <w:szCs w:val="20"/>
          <w:color w:val="auto"/>
        </w:rPr>
      </w:pPr>
      <w:r>
        <w:rPr>
          <w:rFonts w:ascii="Arial" w:cs="Arial" w:eastAsia="Arial" w:hAnsi="Arial"/>
          <w:sz w:val="18"/>
          <w:szCs w:val="18"/>
          <w:color w:val="auto"/>
        </w:rPr>
        <w:t>Title: Executive Vice President, Chief Legal Officer and Secretary</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2019-12-08T15:11:09Z</dcterms:created>
  <dcterms:modified xsi:type="dcterms:W3CDTF">2019-12-08T15:11:09Z</dcterms:modified>
</cp:coreProperties>
</file>