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gb00bdsfg982_020619.txt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1)</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TECHNIPFMC PLC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BDSFG98</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(SEDOL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2018</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SEDOL No.</w:t>
      </w:r>
      <w:r>
        <w:rPr>
          <w:sz w:val="20"/>
          <w:szCs w:val="20"/>
          <w:color w:val="auto"/>
        </w:rPr>
        <w:tab/>
      </w:r>
      <w:r>
        <w:rPr>
          <w:rFonts w:ascii="Courier New" w:cs="Courier New" w:eastAsia="Courier New" w:hAnsi="Courier New"/>
          <w:sz w:val="16"/>
          <w:szCs w:val="16"/>
          <w:color w:val="auto"/>
        </w:rPr>
        <w:t>BDSFG98</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20830423</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219"/>
          </w:cols>
          <w:pgMar w:left="24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24170855</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24170855</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5.4%</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TECHNIPFMC PLC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ONE ST. PAUL'S CHURCHYARD</w:t>
      </w:r>
    </w:p>
    <w:p>
      <w:pPr>
        <w:spacing w:after="0" w:line="238" w:lineRule="auto"/>
        <w:rPr>
          <w:sz w:val="20"/>
          <w:szCs w:val="20"/>
          <w:color w:val="auto"/>
        </w:rPr>
      </w:pPr>
      <w:r>
        <w:rPr>
          <w:rFonts w:ascii="Courier New" w:cs="Courier New" w:eastAsia="Courier New" w:hAnsi="Courier New"/>
          <w:sz w:val="18"/>
          <w:szCs w:val="18"/>
          <w:color w:val="auto"/>
        </w:rPr>
        <w:t>LONDON United Kingdom EC4M 8AP</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SEDOL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219"/>
          </w:cols>
          <w:pgMar w:left="240" w:top="136" w:right="1440" w:bottom="0" w:gutter="0" w:footer="0" w:header="0"/>
        </w:sectPr>
      </w:pPr>
    </w:p>
    <w:bookmarkStart w:id="2" w:name="page3"/>
    <w:bookmarkEnd w:id="2"/>
    <w:p>
      <w:pPr>
        <w:ind w:left="1280" w:right="335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359" w:hanging="1272"/>
        <w:spacing w:after="0" w:line="235" w:lineRule="auto"/>
        <w:tabs>
          <w:tab w:leader="none" w:pos="43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72"/>
        <w:spacing w:after="0" w:line="235" w:lineRule="auto"/>
        <w:tabs>
          <w:tab w:leader="none" w:pos="227"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479" w:hanging="1272"/>
        <w:spacing w:after="0" w:line="268" w:lineRule="auto"/>
        <w:tabs>
          <w:tab w:leader="none" w:pos="227"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3039" w:hanging="1272"/>
        <w:spacing w:after="0" w:line="235" w:lineRule="auto"/>
        <w:tabs>
          <w:tab w:leader="none" w:pos="22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24170855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5.4%</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20830423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24170855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9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12" w:lineRule="exact"/>
        <w:rPr>
          <w:sz w:val="20"/>
          <w:szCs w:val="20"/>
          <w:color w:val="auto"/>
        </w:rPr>
      </w:pPr>
    </w:p>
    <w:p>
      <w:pPr>
        <w:jc w:val="both"/>
        <w:ind w:left="320" w:right="3259" w:hanging="104"/>
        <w:spacing w:after="0" w:line="236"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spacing w:after="0" w:line="1" w:lineRule="exact"/>
        <w:rPr>
          <w:sz w:val="20"/>
          <w:szCs w:val="20"/>
          <w:color w:val="auto"/>
        </w:rPr>
      </w:pPr>
    </w:p>
    <w:p>
      <w:pPr>
        <w:ind w:left="320"/>
        <w:spacing w:after="0"/>
        <w:rPr>
          <w:sz w:val="20"/>
          <w:szCs w:val="20"/>
          <w:color w:val="auto"/>
        </w:rPr>
      </w:pPr>
      <w:r>
        <w:rPr>
          <w:rFonts w:ascii="Courier New" w:cs="Courier New" w:eastAsia="Courier New" w:hAnsi="Courier New"/>
          <w:sz w:val="18"/>
          <w:szCs w:val="18"/>
          <w:color w:val="auto"/>
        </w:rPr>
        <w:t>TECHNIPFMC PLC.</w:t>
      </w:r>
    </w:p>
    <w:p>
      <w:pPr>
        <w:ind w:left="320"/>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219"/>
          </w:cols>
          <w:pgMar w:left="240" w:top="142"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TECHNIPFMC PLC</w:t>
      </w:r>
    </w:p>
    <w:p>
      <w:pPr>
        <w:ind w:left="320"/>
        <w:spacing w:after="0" w:line="238" w:lineRule="auto"/>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7"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February 6, 2019</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219"/>
          </w:cols>
          <w:pgMar w:left="240" w:top="136"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219"/>
          </w:cols>
          <w:pgMar w:left="240" w:top="136"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Life Limited</w:t>
      </w:r>
    </w:p>
    <w:p>
      <w:pPr>
        <w:ind w:left="120"/>
        <w:spacing w:after="0" w:line="238" w:lineRule="auto"/>
        <w:rPr>
          <w:sz w:val="20"/>
          <w:szCs w:val="20"/>
          <w:color w:val="auto"/>
        </w:rPr>
      </w:pPr>
      <w:r>
        <w:rPr>
          <w:rFonts w:ascii="Courier New" w:cs="Courier New" w:eastAsia="Courier New" w:hAnsi="Courier New"/>
          <w:sz w:val="18"/>
          <w:szCs w:val="18"/>
          <w:color w:val="auto"/>
        </w:rPr>
        <w:t>BlackRock International Limited</w:t>
      </w:r>
    </w:p>
    <w:p>
      <w:pPr>
        <w:ind w:left="120"/>
        <w:spacing w:after="0"/>
        <w:rPr>
          <w:sz w:val="20"/>
          <w:szCs w:val="20"/>
          <w:color w:val="auto"/>
        </w:rPr>
      </w:pPr>
      <w:r>
        <w:rPr>
          <w:rFonts w:ascii="Courier New" w:cs="Courier New" w:eastAsia="Courier New" w:hAnsi="Courier New"/>
          <w:sz w:val="18"/>
          <w:szCs w:val="18"/>
          <w:color w:val="auto"/>
        </w:rPr>
        <w:t>BlackRock Advisors, LLC</w:t>
      </w:r>
    </w:p>
    <w:p>
      <w:pPr>
        <w:ind w:left="120"/>
        <w:spacing w:after="0" w:line="237" w:lineRule="auto"/>
        <w:rPr>
          <w:sz w:val="20"/>
          <w:szCs w:val="20"/>
          <w:color w:val="auto"/>
        </w:rPr>
      </w:pPr>
      <w:r>
        <w:rPr>
          <w:rFonts w:ascii="Courier New" w:cs="Courier New" w:eastAsia="Courier New" w:hAnsi="Courier New"/>
          <w:sz w:val="18"/>
          <w:szCs w:val="18"/>
          <w:color w:val="auto"/>
        </w:rPr>
        <w:t>BlackRock (Netherlands) B.V.</w:t>
      </w:r>
    </w:p>
    <w:p>
      <w:pPr>
        <w:spacing w:after="0" w:line="5" w:lineRule="exact"/>
        <w:rPr>
          <w:sz w:val="20"/>
          <w:szCs w:val="20"/>
          <w:color w:val="auto"/>
        </w:rPr>
      </w:pPr>
    </w:p>
    <w:p>
      <w:pPr>
        <w:ind w:left="120" w:right="3899"/>
        <w:spacing w:after="0" w:line="236" w:lineRule="auto"/>
        <w:rPr>
          <w:sz w:val="20"/>
          <w:szCs w:val="20"/>
          <w:color w:val="auto"/>
        </w:rPr>
      </w:pPr>
      <w:r>
        <w:rPr>
          <w:rFonts w:ascii="Courier New" w:cs="Courier New" w:eastAsia="Courier New" w:hAnsi="Courier New"/>
          <w:sz w:val="18"/>
          <w:szCs w:val="18"/>
          <w:color w:val="auto"/>
        </w:rPr>
        <w:t>BlackRock Institutional Trust Company, National Association BlackRock Asset Management Ireland Limited BlackRock Financial Management, Inc.</w:t>
      </w:r>
    </w:p>
    <w:p>
      <w:pPr>
        <w:spacing w:after="0" w:line="6" w:lineRule="exact"/>
        <w:rPr>
          <w:sz w:val="20"/>
          <w:szCs w:val="20"/>
          <w:color w:val="auto"/>
        </w:rPr>
      </w:pPr>
    </w:p>
    <w:p>
      <w:pPr>
        <w:ind w:left="120" w:right="3779"/>
        <w:spacing w:after="0" w:line="235" w:lineRule="auto"/>
        <w:rPr>
          <w:sz w:val="20"/>
          <w:szCs w:val="20"/>
          <w:color w:val="auto"/>
        </w:rPr>
      </w:pPr>
      <w:r>
        <w:rPr>
          <w:rFonts w:ascii="Courier New" w:cs="Courier New" w:eastAsia="Courier New" w:hAnsi="Courier New"/>
          <w:sz w:val="18"/>
          <w:szCs w:val="18"/>
          <w:color w:val="auto"/>
        </w:rPr>
        <w:t>iShares (DE) I Investmentaktiengesellschaft mit Teilgesellsc BlackRock Japan Co., Ltd.</w:t>
      </w:r>
    </w:p>
    <w:p>
      <w:pPr>
        <w:ind w:left="120"/>
        <w:spacing w:after="0"/>
        <w:rPr>
          <w:sz w:val="20"/>
          <w:szCs w:val="20"/>
          <w:color w:val="auto"/>
        </w:rPr>
      </w:pPr>
      <w:r>
        <w:rPr>
          <w:rFonts w:ascii="Courier New" w:cs="Courier New" w:eastAsia="Courier New" w:hAnsi="Courier New"/>
          <w:sz w:val="18"/>
          <w:szCs w:val="18"/>
          <w:color w:val="auto"/>
        </w:rPr>
        <w:t>BlackRock Asset Management Schweiz AG</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LLC</w:t>
      </w:r>
    </w:p>
    <w:p>
      <w:pPr>
        <w:ind w:left="120"/>
        <w:spacing w:after="0"/>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Deutschland AG</w:t>
      </w:r>
    </w:p>
    <w:p>
      <w:pPr>
        <w:ind w:left="120"/>
        <w:spacing w:after="0"/>
        <w:rPr>
          <w:sz w:val="20"/>
          <w:szCs w:val="20"/>
          <w:color w:val="auto"/>
        </w:rPr>
      </w:pPr>
      <w:r>
        <w:rPr>
          <w:rFonts w:ascii="Courier New" w:cs="Courier New" w:eastAsia="Courier New" w:hAnsi="Courier New"/>
          <w:sz w:val="18"/>
          <w:szCs w:val="18"/>
          <w:color w:val="auto"/>
        </w:rPr>
        <w:t>BlackRock (Luxembourg) S.A.</w:t>
      </w:r>
    </w:p>
    <w:p>
      <w:pPr>
        <w:spacing w:after="0" w:line="4" w:lineRule="exact"/>
        <w:rPr>
          <w:sz w:val="20"/>
          <w:szCs w:val="20"/>
          <w:color w:val="auto"/>
        </w:rPr>
      </w:pPr>
    </w:p>
    <w:p>
      <w:pPr>
        <w:ind w:left="120" w:right="4739"/>
        <w:spacing w:after="0" w:line="236" w:lineRule="auto"/>
        <w:rPr>
          <w:sz w:val="20"/>
          <w:szCs w:val="20"/>
          <w:color w:val="auto"/>
        </w:rPr>
      </w:pPr>
      <w:r>
        <w:rPr>
          <w:rFonts w:ascii="Courier New" w:cs="Courier New" w:eastAsia="Courier New" w:hAnsi="Courier New"/>
          <w:sz w:val="18"/>
          <w:szCs w:val="18"/>
          <w:color w:val="auto"/>
        </w:rPr>
        <w:t>BlackRock Investment Management (Australia) Limited BlackRock Advisors (UK) Limited BlackRock Fund Advisors</w:t>
      </w:r>
    </w:p>
    <w:p>
      <w:pPr>
        <w:spacing w:after="0" w:line="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BlackRock Asset Management North Asia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(Singapore) Limited</w:t>
      </w:r>
    </w:p>
    <w:p>
      <w:pPr>
        <w:ind w:left="120"/>
        <w:spacing w:after="0"/>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93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9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61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303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9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rPr>
          <w:sz w:val="20"/>
          <w:szCs w:val="20"/>
          <w:color w:val="auto"/>
        </w:rPr>
      </w:pPr>
      <w:r>
        <w:rPr>
          <w:rFonts w:ascii="Courier New" w:cs="Courier New" w:eastAsia="Courier New" w:hAnsi="Courier New"/>
          <w:sz w:val="18"/>
          <w:szCs w:val="18"/>
          <w:color w:val="auto"/>
        </w:rPr>
        <w:t>Title: Deputy General Counsel</w:t>
      </w:r>
    </w:p>
    <w:p>
      <w:pPr>
        <w:sectPr>
          <w:pgSz w:w="11900" w:h="16838" w:orient="portrait"/>
          <w:cols w:equalWidth="0" w:num="1">
            <w:col w:w="10219"/>
          </w:cols>
          <w:pgMar w:left="240" w:top="541" w:right="1440" w:bottom="0" w:gutter="0" w:footer="0" w:header="0"/>
        </w:sectPr>
      </w:pPr>
    </w:p>
    <w:bookmarkStart w:id="5" w:name="page6"/>
    <w:bookmarkEnd w:id="5"/>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decimal"/>
      <w:start w:val="2"/>
    </w:lvl>
  </w:abstractNum>
  <w:abstractNum w:abstractNumId="2">
    <w:nsid w:val="41B71EFB"/>
    <w:multiLevelType w:val="hybridMultilevel"/>
    <w:lvl w:ilvl="0">
      <w:lvlJc w:val="left"/>
      <w:lvlText w:val="(%1)"/>
      <w:numFmt w:val="decimal"/>
      <w:start w:val="5"/>
    </w:lvl>
  </w:abstractNum>
  <w:abstractNum w:abstractNumId="3">
    <w:nsid w:val="79E2A9E3"/>
    <w:multiLevelType w:val="hybridMultilevel"/>
    <w:lvl w:ilvl="0">
      <w:lvlJc w:val="left"/>
      <w:lvlText w:val="(%1)"/>
      <w:numFmt w:val="decimal"/>
      <w:start w:val="8"/>
    </w:lvl>
  </w:abstractNum>
  <w:abstractNum w:abstractNumId="4">
    <w:nsid w:val="7545E146"/>
    <w:multiLevelType w:val="hybridMultilevel"/>
    <w:lvl w:ilvl="0">
      <w:lvlJc w:val="left"/>
      <w:lvlText w:val="(%1)"/>
      <w:numFmt w:val="decimal"/>
      <w:start w:val="12"/>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
      <w:numFmt w:val="bullet"/>
      <w:start w:val="1"/>
    </w:lvl>
  </w:abstractNum>
  <w:abstractNum w:abstractNumId="7">
    <w:nsid w:val="12200854"/>
    <w:multiLevelType w:val="hybridMultilevel"/>
    <w:lvl w:ilvl="0">
      <w:lvlJc w:val="left"/>
      <w:lvlText w:val="[%1]"/>
      <w:numFmt w:val="upperLetter"/>
      <w:start w:val="24"/>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
      <w:numFmt w:val="bullet"/>
      <w:start w:val="1"/>
    </w:lvl>
  </w:abstractNum>
  <w:abstractNum w:abstractNumId="10">
    <w:nsid w:val="1F16E9E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2019-12-19T21:18:12Z</dcterms:created>
  <dcterms:modified xsi:type="dcterms:W3CDTF">2019-12-19T21:18:12Z</dcterms:modified>
</cp:coreProperties>
</file>