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59"/>
        <w:spacing w:after="0"/>
        <w:rPr>
          <w:sz w:val="20"/>
          <w:szCs w:val="20"/>
          <w:color w:val="auto"/>
        </w:rPr>
      </w:pPr>
      <w:r>
        <w:rPr>
          <w:rFonts w:ascii="Arial" w:cs="Arial" w:eastAsia="Arial" w:hAnsi="Arial"/>
          <w:sz w:val="17"/>
          <w:szCs w:val="17"/>
          <w:color w:val="auto"/>
        </w:rPr>
        <w:t>SECURITIES AND EXCHANGE COMMISSION</w:t>
      </w:r>
    </w:p>
    <w:p>
      <w:pPr>
        <w:spacing w:after="0" w:line="21" w:lineRule="exact"/>
        <w:rPr>
          <w:sz w:val="24"/>
          <w:szCs w:val="24"/>
          <w:color w:val="auto"/>
        </w:rPr>
      </w:pPr>
    </w:p>
    <w:p>
      <w:pPr>
        <w:jc w:val="center"/>
        <w:ind w:right="-159"/>
        <w:spacing w:after="0"/>
        <w:rPr>
          <w:sz w:val="20"/>
          <w:szCs w:val="20"/>
          <w:color w:val="auto"/>
        </w:rPr>
      </w:pPr>
      <w:r>
        <w:rPr>
          <w:rFonts w:ascii="Arial" w:cs="Arial" w:eastAsia="Arial" w:hAnsi="Arial"/>
          <w:sz w:val="17"/>
          <w:szCs w:val="17"/>
          <w:color w:val="auto"/>
        </w:rPr>
        <w:t>Washington, D.C. 20549</w:t>
      </w:r>
    </w:p>
    <w:p>
      <w:pPr>
        <w:spacing w:after="0" w:line="196" w:lineRule="exact"/>
        <w:rPr>
          <w:sz w:val="24"/>
          <w:szCs w:val="24"/>
          <w:color w:val="auto"/>
        </w:rPr>
      </w:pPr>
    </w:p>
    <w:p>
      <w:pPr>
        <w:jc w:val="center"/>
        <w:ind w:right="-159"/>
        <w:spacing w:after="0"/>
        <w:rPr>
          <w:sz w:val="20"/>
          <w:szCs w:val="20"/>
          <w:color w:val="auto"/>
        </w:rPr>
      </w:pPr>
      <w:r>
        <w:rPr>
          <w:rFonts w:ascii="Arial" w:cs="Arial" w:eastAsia="Arial" w:hAnsi="Arial"/>
          <w:sz w:val="17"/>
          <w:szCs w:val="17"/>
          <w:color w:val="auto"/>
        </w:rPr>
        <w:t>Schedule 13G</w:t>
      </w:r>
    </w:p>
    <w:p>
      <w:pPr>
        <w:spacing w:after="0" w:line="210" w:lineRule="exact"/>
        <w:rPr>
          <w:sz w:val="24"/>
          <w:szCs w:val="24"/>
          <w:color w:val="auto"/>
        </w:rPr>
      </w:pPr>
    </w:p>
    <w:p>
      <w:pPr>
        <w:jc w:val="center"/>
        <w:ind w:right="-159"/>
        <w:spacing w:after="0"/>
        <w:rPr>
          <w:sz w:val="20"/>
          <w:szCs w:val="20"/>
          <w:color w:val="auto"/>
        </w:rPr>
      </w:pPr>
      <w:r>
        <w:rPr>
          <w:rFonts w:ascii="Arial" w:cs="Arial" w:eastAsia="Arial" w:hAnsi="Arial"/>
          <w:sz w:val="17"/>
          <w:szCs w:val="17"/>
          <w:color w:val="auto"/>
        </w:rPr>
        <w:t>Under the Securities Exchange Act of 1934</w:t>
      </w:r>
    </w:p>
    <w:p>
      <w:pPr>
        <w:spacing w:after="0" w:line="21" w:lineRule="exact"/>
        <w:rPr>
          <w:sz w:val="24"/>
          <w:szCs w:val="24"/>
          <w:color w:val="auto"/>
        </w:rPr>
      </w:pPr>
    </w:p>
    <w:p>
      <w:pPr>
        <w:jc w:val="center"/>
        <w:ind w:right="-159"/>
        <w:spacing w:after="0"/>
        <w:rPr>
          <w:sz w:val="20"/>
          <w:szCs w:val="20"/>
          <w:color w:val="auto"/>
        </w:rPr>
      </w:pPr>
      <w:r>
        <w:rPr>
          <w:rFonts w:ascii="Arial" w:cs="Arial" w:eastAsia="Arial" w:hAnsi="Arial"/>
          <w:sz w:val="17"/>
          <w:szCs w:val="17"/>
          <w:color w:val="auto"/>
        </w:rPr>
        <w:t>(Amendment No.: 0 )*</w:t>
      </w:r>
    </w:p>
    <w:p>
      <w:pPr>
        <w:spacing w:after="0" w:line="200" w:lineRule="exact"/>
        <w:rPr>
          <w:sz w:val="24"/>
          <w:szCs w:val="24"/>
          <w:color w:val="auto"/>
        </w:rPr>
      </w:pPr>
    </w:p>
    <w:p>
      <w:pPr>
        <w:spacing w:after="0" w:line="200" w:lineRule="exact"/>
        <w:rPr>
          <w:sz w:val="24"/>
          <w:szCs w:val="24"/>
          <w:color w:val="auto"/>
        </w:rPr>
      </w:pPr>
    </w:p>
    <w:p>
      <w:pPr>
        <w:spacing w:after="0" w:line="201" w:lineRule="exact"/>
        <w:rPr>
          <w:sz w:val="24"/>
          <w:szCs w:val="24"/>
          <w:color w:val="auto"/>
        </w:rPr>
      </w:pPr>
    </w:p>
    <w:p>
      <w:pPr>
        <w:spacing w:after="0"/>
        <w:rPr>
          <w:sz w:val="20"/>
          <w:szCs w:val="20"/>
          <w:color w:val="auto"/>
        </w:rPr>
      </w:pPr>
      <w:r>
        <w:rPr>
          <w:rFonts w:ascii="Arial" w:cs="Arial" w:eastAsia="Arial" w:hAnsi="Arial"/>
          <w:sz w:val="17"/>
          <w:szCs w:val="17"/>
          <w:color w:val="auto"/>
        </w:rPr>
        <w:t>Name of issuer: TechnipFMC PLC</w:t>
      </w:r>
    </w:p>
    <w:p>
      <w:pPr>
        <w:spacing w:after="0" w:line="200" w:lineRule="exact"/>
        <w:rPr>
          <w:sz w:val="24"/>
          <w:szCs w:val="24"/>
          <w:color w:val="auto"/>
        </w:rPr>
      </w:pPr>
    </w:p>
    <w:p>
      <w:pPr>
        <w:spacing w:after="0" w:line="212" w:lineRule="exact"/>
        <w:rPr>
          <w:sz w:val="24"/>
          <w:szCs w:val="24"/>
          <w:color w:val="auto"/>
        </w:rPr>
      </w:pPr>
    </w:p>
    <w:p>
      <w:pPr>
        <w:spacing w:after="0"/>
        <w:rPr>
          <w:sz w:val="20"/>
          <w:szCs w:val="20"/>
          <w:color w:val="auto"/>
        </w:rPr>
      </w:pPr>
      <w:r>
        <w:rPr>
          <w:rFonts w:ascii="Arial" w:cs="Arial" w:eastAsia="Arial" w:hAnsi="Arial"/>
          <w:sz w:val="17"/>
          <w:szCs w:val="17"/>
          <w:color w:val="auto"/>
        </w:rPr>
        <w:t>Title of Class of Securities: Common Stock</w:t>
      </w:r>
    </w:p>
    <w:p>
      <w:pPr>
        <w:spacing w:after="0" w:line="200" w:lineRule="exact"/>
        <w:rPr>
          <w:sz w:val="24"/>
          <w:szCs w:val="24"/>
          <w:color w:val="auto"/>
        </w:rPr>
      </w:pPr>
    </w:p>
    <w:p>
      <w:pPr>
        <w:spacing w:after="0" w:line="212" w:lineRule="exact"/>
        <w:rPr>
          <w:sz w:val="24"/>
          <w:szCs w:val="24"/>
          <w:color w:val="auto"/>
        </w:rPr>
      </w:pPr>
    </w:p>
    <w:p>
      <w:pPr>
        <w:spacing w:after="0"/>
        <w:rPr>
          <w:sz w:val="20"/>
          <w:szCs w:val="20"/>
          <w:color w:val="auto"/>
        </w:rPr>
      </w:pPr>
      <w:r>
        <w:rPr>
          <w:rFonts w:ascii="Arial" w:cs="Arial" w:eastAsia="Arial" w:hAnsi="Arial"/>
          <w:sz w:val="17"/>
          <w:szCs w:val="17"/>
          <w:color w:val="auto"/>
        </w:rPr>
        <w:t>CUSIP Number: G87110105</w:t>
      </w:r>
    </w:p>
    <w:p>
      <w:pPr>
        <w:spacing w:after="0" w:line="200" w:lineRule="exact"/>
        <w:rPr>
          <w:sz w:val="24"/>
          <w:szCs w:val="24"/>
          <w:color w:val="auto"/>
        </w:rPr>
      </w:pPr>
    </w:p>
    <w:p>
      <w:pPr>
        <w:spacing w:after="0" w:line="206" w:lineRule="exact"/>
        <w:rPr>
          <w:sz w:val="24"/>
          <w:szCs w:val="24"/>
          <w:color w:val="auto"/>
        </w:rPr>
      </w:pPr>
    </w:p>
    <w:p>
      <w:pPr>
        <w:spacing w:after="0"/>
        <w:rPr>
          <w:sz w:val="20"/>
          <w:szCs w:val="20"/>
          <w:color w:val="auto"/>
        </w:rPr>
      </w:pPr>
      <w:r>
        <w:rPr>
          <w:rFonts w:ascii="Arial" w:cs="Arial" w:eastAsia="Arial" w:hAnsi="Arial"/>
          <w:sz w:val="17"/>
          <w:szCs w:val="17"/>
          <w:color w:val="auto"/>
        </w:rPr>
        <w:t xml:space="preserve">Date of Event Which Requires Filing of this Statement: </w:t>
      </w:r>
      <w:r>
        <w:rPr>
          <w:rFonts w:ascii="Arial" w:cs="Arial" w:eastAsia="Arial" w:hAnsi="Arial"/>
          <w:sz w:val="17"/>
          <w:szCs w:val="17"/>
          <w:b w:val="1"/>
          <w:bCs w:val="1"/>
          <w:color w:val="auto"/>
        </w:rPr>
        <w:t>December 31, 2017</w:t>
      </w:r>
    </w:p>
    <w:p>
      <w:pPr>
        <w:spacing w:after="0" w:line="216" w:lineRule="exact"/>
        <w:rPr>
          <w:sz w:val="24"/>
          <w:szCs w:val="24"/>
          <w:color w:val="auto"/>
        </w:rPr>
      </w:pPr>
    </w:p>
    <w:p>
      <w:pPr>
        <w:spacing w:after="0"/>
        <w:rPr>
          <w:sz w:val="20"/>
          <w:szCs w:val="20"/>
          <w:color w:val="auto"/>
        </w:rPr>
      </w:pPr>
      <w:r>
        <w:rPr>
          <w:rFonts w:ascii="Arial" w:cs="Arial" w:eastAsia="Arial" w:hAnsi="Arial"/>
          <w:sz w:val="17"/>
          <w:szCs w:val="17"/>
          <w:color w:val="auto"/>
        </w:rPr>
        <w:t>Check the appropriate box to designate the rule pursuant to which this Schedule is filed:</w:t>
      </w:r>
    </w:p>
    <w:p>
      <w:pPr>
        <w:spacing w:after="0" w:line="21" w:lineRule="exact"/>
        <w:rPr>
          <w:sz w:val="24"/>
          <w:szCs w:val="24"/>
          <w:color w:val="auto"/>
        </w:rPr>
      </w:pPr>
    </w:p>
    <w:p>
      <w:pPr>
        <w:jc w:val="both"/>
        <w:ind w:left="100" w:right="9940" w:hanging="6"/>
        <w:spacing w:after="0" w:line="302" w:lineRule="auto"/>
        <w:tabs>
          <w:tab w:leader="none" w:pos="380" w:val="left"/>
        </w:tabs>
        <w:numPr>
          <w:ilvl w:val="0"/>
          <w:numId w:val="1"/>
        </w:numPr>
        <w:rPr>
          <w:rFonts w:ascii="Arial" w:cs="Arial" w:eastAsia="Arial" w:hAnsi="Arial"/>
          <w:sz w:val="15"/>
          <w:szCs w:val="15"/>
          <w:color w:val="auto"/>
        </w:rPr>
      </w:pPr>
      <w:r>
        <w:rPr>
          <w:rFonts w:ascii="Arial" w:cs="Arial" w:eastAsia="Arial" w:hAnsi="Arial"/>
          <w:sz w:val="15"/>
          <w:szCs w:val="15"/>
          <w:color w:val="auto"/>
        </w:rPr>
        <w:t>Rule 13d-1(b) ( ) Rule 13d-1(c) ( ) Rule 13d-1(d)</w:t>
      </w:r>
    </w:p>
    <w:p>
      <w:pPr>
        <w:spacing w:after="0" w:line="145" w:lineRule="exact"/>
        <w:rPr>
          <w:sz w:val="24"/>
          <w:szCs w:val="24"/>
          <w:color w:val="auto"/>
        </w:rPr>
      </w:pPr>
    </w:p>
    <w:p>
      <w:pPr>
        <w:ind w:right="300" w:firstLine="86"/>
        <w:spacing w:after="0" w:line="274" w:lineRule="auto"/>
        <w:rPr>
          <w:sz w:val="20"/>
          <w:szCs w:val="20"/>
          <w:color w:val="auto"/>
        </w:rPr>
      </w:pPr>
      <w:r>
        <w:rPr>
          <w:rFonts w:ascii="Arial" w:cs="Arial" w:eastAsia="Arial" w:hAnsi="Arial"/>
          <w:sz w:val="17"/>
          <w:szCs w:val="17"/>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61" w:lineRule="exact"/>
        <w:rPr>
          <w:sz w:val="24"/>
          <w:szCs w:val="24"/>
          <w:color w:val="auto"/>
        </w:rPr>
      </w:pPr>
    </w:p>
    <w:p>
      <w:pPr>
        <w:ind w:firstLine="82"/>
        <w:spacing w:after="0" w:line="306" w:lineRule="auto"/>
        <w:rPr>
          <w:sz w:val="20"/>
          <w:szCs w:val="20"/>
          <w:color w:val="auto"/>
        </w:rPr>
      </w:pPr>
      <w:r>
        <w:rPr>
          <w:rFonts w:ascii="Arial" w:cs="Arial" w:eastAsia="Arial" w:hAnsi="Arial"/>
          <w:sz w:val="16"/>
          <w:szCs w:val="16"/>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341" w:lineRule="exact"/>
        <w:rPr>
          <w:sz w:val="24"/>
          <w:szCs w:val="24"/>
          <w:color w:val="auto"/>
        </w:rPr>
      </w:pPr>
    </w:p>
    <w:p>
      <w:pPr>
        <w:spacing w:after="0"/>
        <w:rPr>
          <w:sz w:val="20"/>
          <w:szCs w:val="20"/>
          <w:color w:val="auto"/>
        </w:rPr>
      </w:pPr>
      <w:r>
        <w:rPr>
          <w:rFonts w:ascii="Arial" w:cs="Arial" w:eastAsia="Arial" w:hAnsi="Arial"/>
          <w:sz w:val="17"/>
          <w:szCs w:val="17"/>
          <w:color w:val="auto"/>
        </w:rPr>
        <w:t>(Continued on the following page(s))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3175</wp:posOffset>
            </wp:positionH>
            <wp:positionV relativeFrom="paragraph">
              <wp:posOffset>210820</wp:posOffset>
            </wp:positionV>
            <wp:extent cx="7267575" cy="215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67575" cy="21590"/>
                    </a:xfrm>
                    <a:prstGeom prst="rect">
                      <a:avLst/>
                    </a:prstGeom>
                    <a:noFill/>
                  </pic:spPr>
                </pic:pic>
              </a:graphicData>
            </a:graphic>
          </wp:anchor>
        </w:drawing>
      </w:r>
    </w:p>
    <w:p>
      <w:pPr>
        <w:sectPr>
          <w:pgSz w:w="11900" w:h="16838" w:orient="portrait"/>
          <w:cols w:equalWidth="0" w:num="1">
            <w:col w:w="11280"/>
          </w:cols>
          <w:pgMar w:left="240" w:top="230" w:right="379" w:bottom="1440" w:gutter="0" w:footer="0" w:header="0"/>
        </w:sectPr>
      </w:pPr>
    </w:p>
    <w:bookmarkStart w:id="1" w:name="page2"/>
    <w:bookmarkEnd w:id="1"/>
    <w:p>
      <w:pPr>
        <w:ind w:left="5560"/>
        <w:spacing w:after="0"/>
        <w:rPr>
          <w:sz w:val="20"/>
          <w:szCs w:val="20"/>
          <w:color w:val="auto"/>
        </w:rPr>
      </w:pPr>
      <w:r>
        <w:rPr>
          <w:rFonts w:ascii="Arial" w:cs="Arial" w:eastAsia="Arial" w:hAnsi="Arial"/>
          <w:sz w:val="17"/>
          <w:szCs w:val="17"/>
          <w:color w:val="auto"/>
        </w:rPr>
        <w:t>13G</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CUSIP No.: G87110105</w:t>
      </w:r>
    </w:p>
    <w:p>
      <w:pPr>
        <w:spacing w:after="0" w:line="398" w:lineRule="exact"/>
        <w:rPr>
          <w:sz w:val="20"/>
          <w:szCs w:val="20"/>
          <w:color w:val="auto"/>
        </w:rPr>
      </w:pPr>
    </w:p>
    <w:p>
      <w:pPr>
        <w:ind w:left="220" w:hanging="212"/>
        <w:spacing w:after="0"/>
        <w:tabs>
          <w:tab w:leader="none" w:pos="220" w:val="left"/>
        </w:tabs>
        <w:numPr>
          <w:ilvl w:val="0"/>
          <w:numId w:val="2"/>
        </w:numPr>
        <w:rPr>
          <w:rFonts w:ascii="Arial" w:cs="Arial" w:eastAsia="Arial" w:hAnsi="Arial"/>
          <w:sz w:val="17"/>
          <w:szCs w:val="17"/>
          <w:color w:val="auto"/>
        </w:rPr>
      </w:pPr>
      <w:r>
        <w:rPr>
          <w:rFonts w:ascii="Arial" w:cs="Arial" w:eastAsia="Arial" w:hAnsi="Arial"/>
          <w:sz w:val="17"/>
          <w:szCs w:val="17"/>
          <w:color w:val="auto"/>
        </w:rPr>
        <w:t>NAME OF REPORTING PERSON</w:t>
      </w:r>
    </w:p>
    <w:p>
      <w:pPr>
        <w:spacing w:after="0" w:line="20" w:lineRule="exact"/>
        <w:rPr>
          <w:rFonts w:ascii="Arial" w:cs="Arial" w:eastAsia="Arial" w:hAnsi="Arial"/>
          <w:sz w:val="17"/>
          <w:szCs w:val="17"/>
          <w:color w:val="auto"/>
        </w:rPr>
      </w:pPr>
    </w:p>
    <w:p>
      <w:pPr>
        <w:ind w:left="100"/>
        <w:spacing w:after="0"/>
        <w:rPr>
          <w:rFonts w:ascii="Arial" w:cs="Arial" w:eastAsia="Arial" w:hAnsi="Arial"/>
          <w:sz w:val="17"/>
          <w:szCs w:val="17"/>
          <w:color w:val="auto"/>
        </w:rPr>
      </w:pPr>
      <w:r>
        <w:rPr>
          <w:rFonts w:ascii="Arial" w:cs="Arial" w:eastAsia="Arial" w:hAnsi="Arial"/>
          <w:sz w:val="17"/>
          <w:szCs w:val="17"/>
          <w:color w:val="auto"/>
        </w:rPr>
        <w:t>S.S. OR I.R.S. IDENTIFICATION NO. OF ABOVE PERSON</w:t>
      </w: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spacing w:after="0"/>
        <w:rPr>
          <w:sz w:val="20"/>
          <w:szCs w:val="20"/>
          <w:color w:val="auto"/>
        </w:rPr>
      </w:pPr>
      <w:r>
        <w:rPr>
          <w:rFonts w:ascii="Arial" w:cs="Arial" w:eastAsia="Arial" w:hAnsi="Arial"/>
          <w:sz w:val="17"/>
          <w:szCs w:val="17"/>
          <w:color w:val="auto"/>
        </w:rPr>
        <w:t>2. CHECK THE APPROPRIATE [LINE] IF A MEMBER OF A GROUP</w:t>
      </w: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ind w:left="220" w:hanging="212"/>
        <w:spacing w:after="0"/>
        <w:tabs>
          <w:tab w:leader="none" w:pos="220" w:val="left"/>
        </w:tabs>
        <w:numPr>
          <w:ilvl w:val="0"/>
          <w:numId w:val="3"/>
        </w:numPr>
        <w:rPr>
          <w:rFonts w:ascii="Arial" w:cs="Arial" w:eastAsia="Arial" w:hAnsi="Arial"/>
          <w:sz w:val="17"/>
          <w:szCs w:val="17"/>
          <w:color w:val="auto"/>
        </w:rPr>
      </w:pPr>
      <w:r>
        <w:rPr>
          <w:rFonts w:ascii="Arial" w:cs="Arial" w:eastAsia="Arial" w:hAnsi="Arial"/>
          <w:sz w:val="17"/>
          <w:szCs w:val="17"/>
          <w:color w:val="auto"/>
        </w:rPr>
        <w:t>SEC USE ONLY</w:t>
      </w:r>
    </w:p>
    <w:p>
      <w:pPr>
        <w:spacing w:after="0" w:line="200" w:lineRule="exact"/>
        <w:rPr>
          <w:rFonts w:ascii="Arial" w:cs="Arial" w:eastAsia="Arial" w:hAnsi="Arial"/>
          <w:sz w:val="17"/>
          <w:szCs w:val="17"/>
          <w:color w:val="auto"/>
        </w:rPr>
      </w:pPr>
    </w:p>
    <w:p>
      <w:pPr>
        <w:spacing w:after="0" w:line="200" w:lineRule="exact"/>
        <w:rPr>
          <w:rFonts w:ascii="Arial" w:cs="Arial" w:eastAsia="Arial" w:hAnsi="Arial"/>
          <w:sz w:val="17"/>
          <w:szCs w:val="17"/>
          <w:color w:val="auto"/>
        </w:rPr>
      </w:pPr>
    </w:p>
    <w:p>
      <w:pPr>
        <w:spacing w:after="0" w:line="214" w:lineRule="exact"/>
        <w:rPr>
          <w:rFonts w:ascii="Arial" w:cs="Arial" w:eastAsia="Arial" w:hAnsi="Arial"/>
          <w:sz w:val="17"/>
          <w:szCs w:val="17"/>
          <w:color w:val="auto"/>
        </w:rPr>
      </w:pPr>
    </w:p>
    <w:p>
      <w:pPr>
        <w:ind w:left="100" w:right="6539" w:hanging="92"/>
        <w:spacing w:after="0" w:line="497" w:lineRule="auto"/>
        <w:tabs>
          <w:tab w:leader="none" w:pos="228" w:val="left"/>
        </w:tabs>
        <w:numPr>
          <w:ilvl w:val="0"/>
          <w:numId w:val="3"/>
        </w:numPr>
        <w:rPr>
          <w:rFonts w:ascii="Arial" w:cs="Arial" w:eastAsia="Arial" w:hAnsi="Arial"/>
          <w:sz w:val="17"/>
          <w:szCs w:val="17"/>
          <w:color w:val="auto"/>
        </w:rPr>
      </w:pPr>
      <w:r>
        <w:rPr>
          <w:rFonts w:ascii="Arial" w:cs="Arial" w:eastAsia="Arial" w:hAnsi="Arial"/>
          <w:sz w:val="17"/>
          <w:szCs w:val="17"/>
          <w:color w:val="auto"/>
        </w:rPr>
        <w:t>CITIZENSHIP OF PLACE OF ORGANIZATION Pennsylvania</w:t>
      </w:r>
    </w:p>
    <w:p>
      <w:pPr>
        <w:spacing w:after="0" w:line="1" w:lineRule="exact"/>
        <w:rPr>
          <w:sz w:val="20"/>
          <w:szCs w:val="20"/>
          <w:color w:val="auto"/>
        </w:rPr>
      </w:pPr>
    </w:p>
    <w:p>
      <w:pPr>
        <w:spacing w:after="0"/>
        <w:rPr>
          <w:sz w:val="20"/>
          <w:szCs w:val="20"/>
          <w:color w:val="auto"/>
        </w:rPr>
      </w:pPr>
      <w:r>
        <w:rPr>
          <w:rFonts w:ascii="Arial" w:cs="Arial" w:eastAsia="Arial" w:hAnsi="Arial"/>
          <w:sz w:val="16"/>
          <w:szCs w:val="16"/>
          <w:color w:val="auto"/>
        </w:rPr>
        <w:t>(For questions 5-8, report the number of shares beneficially owned by each reporting person with:)</w:t>
      </w:r>
    </w:p>
    <w:p>
      <w:pPr>
        <w:spacing w:after="0" w:line="221" w:lineRule="exact"/>
        <w:rPr>
          <w:sz w:val="20"/>
          <w:szCs w:val="20"/>
          <w:color w:val="auto"/>
        </w:rPr>
      </w:pPr>
    </w:p>
    <w:p>
      <w:pPr>
        <w:ind w:left="100" w:right="8239" w:hanging="92"/>
        <w:spacing w:after="0" w:line="497" w:lineRule="auto"/>
        <w:tabs>
          <w:tab w:leader="none" w:pos="228" w:val="left"/>
        </w:tabs>
        <w:numPr>
          <w:ilvl w:val="0"/>
          <w:numId w:val="4"/>
        </w:numPr>
        <w:rPr>
          <w:rFonts w:ascii="Arial" w:cs="Arial" w:eastAsia="Arial" w:hAnsi="Arial"/>
          <w:sz w:val="17"/>
          <w:szCs w:val="17"/>
          <w:color w:val="auto"/>
        </w:rPr>
      </w:pPr>
      <w:r>
        <w:rPr>
          <w:rFonts w:ascii="Arial" w:cs="Arial" w:eastAsia="Arial" w:hAnsi="Arial"/>
          <w:sz w:val="17"/>
          <w:szCs w:val="17"/>
          <w:color w:val="auto"/>
        </w:rPr>
        <w:t>SOLE VOTING POWER 531,510</w:t>
      </w:r>
    </w:p>
    <w:p>
      <w:pPr>
        <w:ind w:left="100" w:right="7979" w:hanging="92"/>
        <w:spacing w:after="0" w:line="497" w:lineRule="auto"/>
        <w:tabs>
          <w:tab w:leader="none" w:pos="228" w:val="left"/>
        </w:tabs>
        <w:numPr>
          <w:ilvl w:val="0"/>
          <w:numId w:val="4"/>
        </w:numPr>
        <w:rPr>
          <w:rFonts w:ascii="Arial" w:cs="Arial" w:eastAsia="Arial" w:hAnsi="Arial"/>
          <w:sz w:val="17"/>
          <w:szCs w:val="17"/>
          <w:color w:val="auto"/>
        </w:rPr>
      </w:pPr>
      <w:r>
        <w:rPr>
          <w:rFonts w:ascii="Arial" w:cs="Arial" w:eastAsia="Arial" w:hAnsi="Arial"/>
          <w:sz w:val="17"/>
          <w:szCs w:val="17"/>
          <w:color w:val="auto"/>
        </w:rPr>
        <w:t>SHARED VOTING POWER 122,927</w:t>
      </w:r>
    </w:p>
    <w:p>
      <w:pPr>
        <w:ind w:left="100" w:right="7859" w:hanging="92"/>
        <w:spacing w:after="0" w:line="497" w:lineRule="auto"/>
        <w:tabs>
          <w:tab w:leader="none" w:pos="228" w:val="left"/>
        </w:tabs>
        <w:numPr>
          <w:ilvl w:val="0"/>
          <w:numId w:val="4"/>
        </w:numPr>
        <w:rPr>
          <w:rFonts w:ascii="Arial" w:cs="Arial" w:eastAsia="Arial" w:hAnsi="Arial"/>
          <w:sz w:val="17"/>
          <w:szCs w:val="17"/>
          <w:color w:val="auto"/>
        </w:rPr>
      </w:pPr>
      <w:r>
        <w:rPr>
          <w:rFonts w:ascii="Arial" w:cs="Arial" w:eastAsia="Arial" w:hAnsi="Arial"/>
          <w:sz w:val="17"/>
          <w:szCs w:val="17"/>
          <w:color w:val="auto"/>
        </w:rPr>
        <w:t>SOLE DISPOSITIVE POWER 26,441,570</w:t>
      </w:r>
    </w:p>
    <w:p>
      <w:pPr>
        <w:ind w:left="140" w:right="7599" w:hanging="132"/>
        <w:spacing w:after="0" w:line="497" w:lineRule="auto"/>
        <w:tabs>
          <w:tab w:leader="none" w:pos="225" w:val="left"/>
        </w:tabs>
        <w:numPr>
          <w:ilvl w:val="0"/>
          <w:numId w:val="4"/>
        </w:numPr>
        <w:rPr>
          <w:rFonts w:ascii="Arial" w:cs="Arial" w:eastAsia="Arial" w:hAnsi="Arial"/>
          <w:sz w:val="17"/>
          <w:szCs w:val="17"/>
          <w:color w:val="auto"/>
        </w:rPr>
      </w:pPr>
      <w:r>
        <w:rPr>
          <w:rFonts w:ascii="Arial" w:cs="Arial" w:eastAsia="Arial" w:hAnsi="Arial"/>
          <w:sz w:val="17"/>
          <w:szCs w:val="17"/>
          <w:color w:val="auto"/>
        </w:rPr>
        <w:t>SHARED DISPOSITIVE POWER 643,028</w:t>
      </w:r>
    </w:p>
    <w:p>
      <w:pPr>
        <w:ind w:left="100" w:right="3799" w:hanging="92"/>
        <w:spacing w:after="0" w:line="497" w:lineRule="auto"/>
        <w:tabs>
          <w:tab w:leader="none" w:pos="219" w:val="left"/>
        </w:tabs>
        <w:numPr>
          <w:ilvl w:val="0"/>
          <w:numId w:val="4"/>
        </w:numPr>
        <w:rPr>
          <w:rFonts w:ascii="Arial" w:cs="Arial" w:eastAsia="Arial" w:hAnsi="Arial"/>
          <w:sz w:val="17"/>
          <w:szCs w:val="17"/>
          <w:color w:val="auto"/>
        </w:rPr>
      </w:pPr>
      <w:r>
        <w:rPr>
          <w:rFonts w:ascii="Arial" w:cs="Arial" w:eastAsia="Arial" w:hAnsi="Arial"/>
          <w:sz w:val="17"/>
          <w:szCs w:val="17"/>
          <w:color w:val="auto"/>
        </w:rPr>
        <w:t>AGGREGATE AMOUNT BENEFICIALLY OWNED BY EACH REPORTING PERSON 27,084,598</w:t>
      </w:r>
    </w:p>
    <w:p>
      <w:pPr>
        <w:ind w:left="100" w:right="3199" w:hanging="92"/>
        <w:spacing w:after="0" w:line="497" w:lineRule="auto"/>
        <w:tabs>
          <w:tab w:leader="none" w:pos="314" w:val="left"/>
        </w:tabs>
        <w:numPr>
          <w:ilvl w:val="0"/>
          <w:numId w:val="4"/>
        </w:numPr>
        <w:rPr>
          <w:rFonts w:ascii="Arial" w:cs="Arial" w:eastAsia="Arial" w:hAnsi="Arial"/>
          <w:sz w:val="17"/>
          <w:szCs w:val="17"/>
          <w:color w:val="auto"/>
        </w:rPr>
      </w:pPr>
      <w:r>
        <w:rPr>
          <w:rFonts w:ascii="Arial" w:cs="Arial" w:eastAsia="Arial" w:hAnsi="Arial"/>
          <w:sz w:val="17"/>
          <w:szCs w:val="17"/>
          <w:color w:val="auto"/>
        </w:rPr>
        <w:t>CHECK BOX IF THE AGGREGATE AMOUNT IN ROW (9) EXCLUDES CERTAIN SHARES N/A</w:t>
      </w:r>
    </w:p>
    <w:p>
      <w:pPr>
        <w:ind w:left="300" w:hanging="292"/>
        <w:spacing w:after="0"/>
        <w:tabs>
          <w:tab w:leader="none" w:pos="300" w:val="left"/>
        </w:tabs>
        <w:numPr>
          <w:ilvl w:val="0"/>
          <w:numId w:val="4"/>
        </w:numPr>
        <w:rPr>
          <w:rFonts w:ascii="Arial" w:cs="Arial" w:eastAsia="Arial" w:hAnsi="Arial"/>
          <w:sz w:val="17"/>
          <w:szCs w:val="17"/>
          <w:color w:val="auto"/>
        </w:rPr>
      </w:pPr>
      <w:r>
        <w:rPr>
          <w:rFonts w:ascii="Arial" w:cs="Arial" w:eastAsia="Arial" w:hAnsi="Arial"/>
          <w:sz w:val="17"/>
          <w:szCs w:val="17"/>
          <w:color w:val="auto"/>
        </w:rPr>
        <w:t>PERCENT OF CLASS REPRESENTED BY AMOUNT IN ROW 9</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5.82%</w:t>
      </w:r>
    </w:p>
    <w:p>
      <w:pPr>
        <w:spacing w:after="0" w:line="210" w:lineRule="exact"/>
        <w:rPr>
          <w:sz w:val="20"/>
          <w:szCs w:val="20"/>
          <w:color w:val="auto"/>
        </w:rPr>
      </w:pPr>
    </w:p>
    <w:p>
      <w:pPr>
        <w:ind w:left="300" w:hanging="292"/>
        <w:spacing w:after="0"/>
        <w:tabs>
          <w:tab w:leader="none" w:pos="300" w:val="left"/>
        </w:tabs>
        <w:numPr>
          <w:ilvl w:val="0"/>
          <w:numId w:val="5"/>
        </w:numPr>
        <w:rPr>
          <w:rFonts w:ascii="Arial" w:cs="Arial" w:eastAsia="Arial" w:hAnsi="Arial"/>
          <w:sz w:val="17"/>
          <w:szCs w:val="17"/>
          <w:color w:val="auto"/>
        </w:rPr>
      </w:pPr>
      <w:r>
        <w:rPr>
          <w:rFonts w:ascii="Arial" w:cs="Arial" w:eastAsia="Arial" w:hAnsi="Arial"/>
          <w:sz w:val="17"/>
          <w:szCs w:val="17"/>
          <w:color w:val="auto"/>
        </w:rPr>
        <w:t>TYPE OF REPORTING PERSON</w:t>
      </w:r>
    </w:p>
    <w:p>
      <w:pPr>
        <w:spacing w:after="0" w:line="209" w:lineRule="exact"/>
        <w:rPr>
          <w:rFonts w:ascii="Arial" w:cs="Arial" w:eastAsia="Arial" w:hAnsi="Arial"/>
          <w:sz w:val="17"/>
          <w:szCs w:val="17"/>
          <w:color w:val="auto"/>
        </w:rPr>
      </w:pPr>
    </w:p>
    <w:p>
      <w:pPr>
        <w:ind w:left="100"/>
        <w:spacing w:after="0"/>
        <w:rPr>
          <w:rFonts w:ascii="Arial" w:cs="Arial" w:eastAsia="Arial" w:hAnsi="Arial"/>
          <w:sz w:val="17"/>
          <w:szCs w:val="17"/>
          <w:color w:val="auto"/>
        </w:rPr>
      </w:pPr>
      <w:r>
        <w:rPr>
          <w:rFonts w:ascii="Arial" w:cs="Arial" w:eastAsia="Arial" w:hAnsi="Arial"/>
          <w:sz w:val="17"/>
          <w:szCs w:val="17"/>
          <w:color w:val="auto"/>
        </w:rPr>
        <w:t>IA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82550</wp:posOffset>
            </wp:positionV>
            <wp:extent cx="7267575" cy="215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67575" cy="21590"/>
                    </a:xfrm>
                    <a:prstGeom prst="rect">
                      <a:avLst/>
                    </a:prstGeom>
                    <a:noFill/>
                  </pic:spPr>
                </pic:pic>
              </a:graphicData>
            </a:graphic>
          </wp:anchor>
        </w:drawing>
      </w:r>
    </w:p>
    <w:p>
      <w:pPr>
        <w:sectPr>
          <w:pgSz w:w="11900" w:h="16838" w:orient="portrait"/>
          <w:cols w:equalWidth="0" w:num="1">
            <w:col w:w="10219"/>
          </w:cols>
          <w:pgMar w:left="240" w:top="365" w:right="1440" w:bottom="1440" w:gutter="0" w:footer="0" w:header="0"/>
        </w:sectPr>
      </w:pPr>
    </w:p>
    <w:bookmarkStart w:id="2" w:name="page3"/>
    <w:bookmarkEnd w:id="2"/>
    <w:p>
      <w:pPr>
        <w:jc w:val="center"/>
        <w:ind w:right="-1200"/>
        <w:spacing w:after="0"/>
        <w:rPr>
          <w:sz w:val="20"/>
          <w:szCs w:val="20"/>
          <w:color w:val="auto"/>
        </w:rPr>
      </w:pPr>
      <w:r>
        <w:rPr>
          <w:rFonts w:ascii="Arial" w:cs="Arial" w:eastAsia="Arial" w:hAnsi="Arial"/>
          <w:sz w:val="17"/>
          <w:szCs w:val="17"/>
          <w:color w:val="auto"/>
        </w:rPr>
        <w:t>SECURITIES AND EXCHANGE COMMISSION</w:t>
      </w:r>
    </w:p>
    <w:p>
      <w:pPr>
        <w:spacing w:after="0" w:line="21" w:lineRule="exact"/>
        <w:rPr>
          <w:sz w:val="20"/>
          <w:szCs w:val="20"/>
          <w:color w:val="auto"/>
        </w:rPr>
      </w:pPr>
    </w:p>
    <w:p>
      <w:pPr>
        <w:jc w:val="center"/>
        <w:ind w:right="-1200"/>
        <w:spacing w:after="0"/>
        <w:rPr>
          <w:sz w:val="20"/>
          <w:szCs w:val="20"/>
          <w:color w:val="auto"/>
        </w:rPr>
      </w:pPr>
      <w:r>
        <w:rPr>
          <w:rFonts w:ascii="Arial" w:cs="Arial" w:eastAsia="Arial" w:hAnsi="Arial"/>
          <w:sz w:val="17"/>
          <w:szCs w:val="17"/>
          <w:color w:val="auto"/>
        </w:rPr>
        <w:t>Washington, D.C. 20549</w:t>
      </w:r>
    </w:p>
    <w:p>
      <w:pPr>
        <w:spacing w:after="0" w:line="196" w:lineRule="exact"/>
        <w:rPr>
          <w:sz w:val="20"/>
          <w:szCs w:val="20"/>
          <w:color w:val="auto"/>
        </w:rPr>
      </w:pPr>
    </w:p>
    <w:p>
      <w:pPr>
        <w:jc w:val="center"/>
        <w:ind w:right="-1200"/>
        <w:spacing w:after="0"/>
        <w:rPr>
          <w:sz w:val="20"/>
          <w:szCs w:val="20"/>
          <w:color w:val="auto"/>
        </w:rPr>
      </w:pPr>
      <w:r>
        <w:rPr>
          <w:rFonts w:ascii="Arial" w:cs="Arial" w:eastAsia="Arial" w:hAnsi="Arial"/>
          <w:sz w:val="17"/>
          <w:szCs w:val="17"/>
          <w:color w:val="auto"/>
        </w:rPr>
        <w:t>SCHEDULE 13G</w:t>
      </w:r>
    </w:p>
    <w:p>
      <w:pPr>
        <w:spacing w:after="0" w:line="21" w:lineRule="exact"/>
        <w:rPr>
          <w:sz w:val="20"/>
          <w:szCs w:val="20"/>
          <w:color w:val="auto"/>
        </w:rPr>
      </w:pPr>
    </w:p>
    <w:p>
      <w:pPr>
        <w:jc w:val="center"/>
        <w:ind w:right="-1200"/>
        <w:spacing w:after="0"/>
        <w:rPr>
          <w:sz w:val="20"/>
          <w:szCs w:val="20"/>
          <w:color w:val="auto"/>
        </w:rPr>
      </w:pPr>
      <w:r>
        <w:rPr>
          <w:rFonts w:ascii="Arial" w:cs="Arial" w:eastAsia="Arial" w:hAnsi="Arial"/>
          <w:sz w:val="17"/>
          <w:szCs w:val="17"/>
          <w:color w:val="auto"/>
        </w:rPr>
        <w:t>Under the Securities Act of 1934</w:t>
      </w:r>
    </w:p>
    <w:p>
      <w:pPr>
        <w:spacing w:after="0" w:line="196" w:lineRule="exact"/>
        <w:rPr>
          <w:sz w:val="20"/>
          <w:szCs w:val="20"/>
          <w:color w:val="auto"/>
        </w:rPr>
      </w:pPr>
    </w:p>
    <w:p>
      <w:pPr>
        <w:spacing w:after="0"/>
        <w:rPr>
          <w:sz w:val="20"/>
          <w:szCs w:val="20"/>
          <w:color w:val="auto"/>
        </w:rPr>
      </w:pPr>
      <w:r>
        <w:rPr>
          <w:rFonts w:ascii="Arial" w:cs="Arial" w:eastAsia="Arial" w:hAnsi="Arial"/>
          <w:sz w:val="17"/>
          <w:szCs w:val="17"/>
          <w:color w:val="auto"/>
        </w:rPr>
        <w:t>Check the following [line] if a fee is being paid with this statement  N/A</w:t>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1(a) - Name of Issuer:</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TechnipFMC PLC</w:t>
      </w: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1(b) - Address of Issuer's Principal Executive Offices:</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One St. Paul's Churchyard</w:t>
      </w:r>
    </w:p>
    <w:p>
      <w:pPr>
        <w:spacing w:after="0" w:line="21" w:lineRule="exact"/>
        <w:rPr>
          <w:sz w:val="20"/>
          <w:szCs w:val="20"/>
          <w:color w:val="auto"/>
        </w:rPr>
      </w:pPr>
    </w:p>
    <w:p>
      <w:pPr>
        <w:ind w:left="100"/>
        <w:spacing w:after="0"/>
        <w:rPr>
          <w:sz w:val="20"/>
          <w:szCs w:val="20"/>
          <w:color w:val="auto"/>
        </w:rPr>
      </w:pPr>
      <w:r>
        <w:rPr>
          <w:rFonts w:ascii="Arial" w:cs="Arial" w:eastAsia="Arial" w:hAnsi="Arial"/>
          <w:sz w:val="17"/>
          <w:szCs w:val="17"/>
          <w:color w:val="auto"/>
        </w:rPr>
        <w:t>London, United Kingdom EC4M 8AP</w:t>
      </w:r>
    </w:p>
    <w:p>
      <w:pPr>
        <w:spacing w:after="0" w:line="196"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2(a) - Name of Person Filing:</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The Vanguard Group - 23-1945930</w:t>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2(b) – Address of Principal Business Office or, if none, residence:</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100 Vanguard Blvd.</w:t>
      </w:r>
    </w:p>
    <w:p>
      <w:pPr>
        <w:spacing w:after="0" w:line="21" w:lineRule="exact"/>
        <w:rPr>
          <w:sz w:val="20"/>
          <w:szCs w:val="20"/>
          <w:color w:val="auto"/>
        </w:rPr>
      </w:pPr>
    </w:p>
    <w:p>
      <w:pPr>
        <w:ind w:left="100"/>
        <w:spacing w:after="0"/>
        <w:rPr>
          <w:sz w:val="20"/>
          <w:szCs w:val="20"/>
          <w:color w:val="auto"/>
        </w:rPr>
      </w:pPr>
      <w:r>
        <w:rPr>
          <w:rFonts w:ascii="Arial" w:cs="Arial" w:eastAsia="Arial" w:hAnsi="Arial"/>
          <w:sz w:val="17"/>
          <w:szCs w:val="17"/>
          <w:color w:val="auto"/>
        </w:rPr>
        <w:t>Malvern, PA 19355</w:t>
      </w:r>
    </w:p>
    <w:p>
      <w:pPr>
        <w:spacing w:after="0" w:line="196"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2(c) – Citizenship:</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Pennsylvania</w:t>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2(d) - Title of Class of Securities:</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Common Stock</w:t>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2(e) - CUSIP Number</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G87110105</w:t>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3 - Type of Filing:</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5"/>
          <w:szCs w:val="15"/>
          <w:color w:val="auto"/>
        </w:rPr>
        <w:t>This statement is being filed pursuant to Rule 13d-1. An investment adviser in accordance with §240.13d-1(b)(1)(ii)(E).</w:t>
      </w:r>
    </w:p>
    <w:p>
      <w:pPr>
        <w:spacing w:after="0" w:line="23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4 - Ownership:</w:t>
      </w:r>
    </w:p>
    <w:p>
      <w:pPr>
        <w:spacing w:after="0" w:line="210" w:lineRule="exact"/>
        <w:rPr>
          <w:sz w:val="20"/>
          <w:szCs w:val="20"/>
          <w:color w:val="auto"/>
        </w:rPr>
      </w:pPr>
    </w:p>
    <w:p>
      <w:pPr>
        <w:ind w:left="100" w:right="7879" w:hanging="6"/>
        <w:spacing w:after="0" w:line="497" w:lineRule="auto"/>
        <w:tabs>
          <w:tab w:leader="none" w:pos="332" w:val="left"/>
        </w:tabs>
        <w:numPr>
          <w:ilvl w:val="0"/>
          <w:numId w:val="6"/>
        </w:numPr>
        <w:rPr>
          <w:rFonts w:ascii="Arial" w:cs="Arial" w:eastAsia="Arial" w:hAnsi="Arial"/>
          <w:sz w:val="17"/>
          <w:szCs w:val="17"/>
          <w:color w:val="auto"/>
        </w:rPr>
      </w:pPr>
      <w:r>
        <w:rPr>
          <w:rFonts w:ascii="Arial" w:cs="Arial" w:eastAsia="Arial" w:hAnsi="Arial"/>
          <w:sz w:val="17"/>
          <w:szCs w:val="17"/>
          <w:color w:val="auto"/>
        </w:rPr>
        <w:t>Amount Beneficially Owned: 27,084,598</w:t>
      </w:r>
    </w:p>
    <w:p>
      <w:pPr>
        <w:ind w:left="340" w:hanging="246"/>
        <w:spacing w:after="0"/>
        <w:tabs>
          <w:tab w:leader="none" w:pos="340" w:val="left"/>
        </w:tabs>
        <w:numPr>
          <w:ilvl w:val="0"/>
          <w:numId w:val="6"/>
        </w:numPr>
        <w:rPr>
          <w:rFonts w:ascii="Arial" w:cs="Arial" w:eastAsia="Arial" w:hAnsi="Arial"/>
          <w:sz w:val="17"/>
          <w:szCs w:val="17"/>
          <w:color w:val="auto"/>
        </w:rPr>
      </w:pPr>
      <w:r>
        <w:rPr>
          <w:rFonts w:ascii="Arial" w:cs="Arial" w:eastAsia="Arial" w:hAnsi="Arial"/>
          <w:sz w:val="17"/>
          <w:szCs w:val="17"/>
          <w:color w:val="auto"/>
        </w:rPr>
        <w:t>Percent of Class:</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5.82%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82550</wp:posOffset>
            </wp:positionV>
            <wp:extent cx="7267575" cy="215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67575" cy="21590"/>
                    </a:xfrm>
                    <a:prstGeom prst="rect">
                      <a:avLst/>
                    </a:prstGeom>
                    <a:noFill/>
                  </pic:spPr>
                </pic:pic>
              </a:graphicData>
            </a:graphic>
          </wp:anchor>
        </w:drawing>
      </w:r>
    </w:p>
    <w:p>
      <w:pPr>
        <w:sectPr>
          <w:pgSz w:w="11900" w:h="16838" w:orient="portrait"/>
          <w:cols w:equalWidth="0" w:num="1">
            <w:col w:w="10219"/>
          </w:cols>
          <w:pgMar w:left="240" w:top="365" w:right="1440" w:bottom="1440" w:gutter="0" w:footer="0" w:header="0"/>
        </w:sectPr>
      </w:pPr>
    </w:p>
    <w:bookmarkStart w:id="3" w:name="page4"/>
    <w:bookmarkEnd w:id="3"/>
    <w:p>
      <w:pPr>
        <w:ind w:left="360" w:hanging="266"/>
        <w:spacing w:after="0"/>
        <w:tabs>
          <w:tab w:leader="none" w:pos="360" w:val="left"/>
        </w:tabs>
        <w:numPr>
          <w:ilvl w:val="0"/>
          <w:numId w:val="7"/>
        </w:numPr>
        <w:rPr>
          <w:rFonts w:ascii="Arial" w:cs="Arial" w:eastAsia="Arial" w:hAnsi="Arial"/>
          <w:sz w:val="17"/>
          <w:szCs w:val="17"/>
          <w:color w:val="auto"/>
        </w:rPr>
      </w:pPr>
      <w:r>
        <w:rPr>
          <w:rFonts w:ascii="Arial" w:cs="Arial" w:eastAsia="Arial" w:hAnsi="Arial"/>
          <w:sz w:val="17"/>
          <w:szCs w:val="17"/>
          <w:color w:val="auto"/>
        </w:rPr>
        <w:t>Number of shares as to which such person has:</w:t>
      </w:r>
    </w:p>
    <w:p>
      <w:pPr>
        <w:spacing w:after="0" w:line="209" w:lineRule="exact"/>
        <w:rPr>
          <w:rFonts w:ascii="Arial" w:cs="Arial" w:eastAsia="Arial" w:hAnsi="Arial"/>
          <w:sz w:val="17"/>
          <w:szCs w:val="17"/>
          <w:color w:val="auto"/>
        </w:rPr>
      </w:pPr>
    </w:p>
    <w:p>
      <w:pPr>
        <w:ind w:left="340" w:hanging="246"/>
        <w:spacing w:after="0"/>
        <w:tabs>
          <w:tab w:leader="none" w:pos="340" w:val="left"/>
        </w:tabs>
        <w:numPr>
          <w:ilvl w:val="0"/>
          <w:numId w:val="8"/>
        </w:numPr>
        <w:rPr>
          <w:rFonts w:ascii="Arial" w:cs="Arial" w:eastAsia="Arial" w:hAnsi="Arial"/>
          <w:sz w:val="17"/>
          <w:szCs w:val="17"/>
          <w:color w:val="auto"/>
        </w:rPr>
      </w:pPr>
      <w:r>
        <w:rPr>
          <w:rFonts w:ascii="Arial" w:cs="Arial" w:eastAsia="Arial" w:hAnsi="Arial"/>
          <w:sz w:val="17"/>
          <w:szCs w:val="17"/>
          <w:color w:val="auto"/>
        </w:rPr>
        <w:t>sole power to vote or direct to vote: 531,510</w:t>
      </w:r>
    </w:p>
    <w:p>
      <w:pPr>
        <w:spacing w:after="0" w:line="209" w:lineRule="exact"/>
        <w:rPr>
          <w:rFonts w:ascii="Arial" w:cs="Arial" w:eastAsia="Arial" w:hAnsi="Arial"/>
          <w:sz w:val="17"/>
          <w:szCs w:val="17"/>
          <w:color w:val="auto"/>
        </w:rPr>
      </w:pPr>
    </w:p>
    <w:p>
      <w:pPr>
        <w:ind w:left="380" w:hanging="286"/>
        <w:spacing w:after="0"/>
        <w:tabs>
          <w:tab w:leader="none" w:pos="380" w:val="left"/>
        </w:tabs>
        <w:numPr>
          <w:ilvl w:val="0"/>
          <w:numId w:val="9"/>
        </w:numPr>
        <w:rPr>
          <w:rFonts w:ascii="Arial" w:cs="Arial" w:eastAsia="Arial" w:hAnsi="Arial"/>
          <w:sz w:val="17"/>
          <w:szCs w:val="17"/>
          <w:color w:val="auto"/>
        </w:rPr>
      </w:pPr>
      <w:r>
        <w:rPr>
          <w:rFonts w:ascii="Arial" w:cs="Arial" w:eastAsia="Arial" w:hAnsi="Arial"/>
          <w:sz w:val="17"/>
          <w:szCs w:val="17"/>
          <w:color w:val="auto"/>
        </w:rPr>
        <w:t>shared power to vote or direct to vote: 122,927</w:t>
      </w:r>
    </w:p>
    <w:p>
      <w:pPr>
        <w:spacing w:after="0" w:line="209" w:lineRule="exact"/>
        <w:rPr>
          <w:rFonts w:ascii="Arial" w:cs="Arial" w:eastAsia="Arial" w:hAnsi="Arial"/>
          <w:sz w:val="17"/>
          <w:szCs w:val="17"/>
          <w:color w:val="auto"/>
        </w:rPr>
      </w:pPr>
    </w:p>
    <w:p>
      <w:pPr>
        <w:ind w:left="100" w:right="6380" w:hanging="6"/>
        <w:spacing w:after="0" w:line="563" w:lineRule="auto"/>
        <w:tabs>
          <w:tab w:leader="none" w:pos="442" w:val="left"/>
        </w:tabs>
        <w:numPr>
          <w:ilvl w:val="0"/>
          <w:numId w:val="10"/>
        </w:numPr>
        <w:rPr>
          <w:rFonts w:ascii="Arial" w:cs="Arial" w:eastAsia="Arial" w:hAnsi="Arial"/>
          <w:sz w:val="15"/>
          <w:szCs w:val="15"/>
          <w:color w:val="auto"/>
        </w:rPr>
      </w:pPr>
      <w:r>
        <w:rPr>
          <w:rFonts w:ascii="Arial" w:cs="Arial" w:eastAsia="Arial" w:hAnsi="Arial"/>
          <w:sz w:val="15"/>
          <w:szCs w:val="15"/>
          <w:color w:val="auto"/>
        </w:rPr>
        <w:t>sole power to dispose of or to direct the disposition of: 26,441,570 (iv) shared power to dispose or to direct the disposition of: 643,028</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Comments:</w:t>
      </w: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5 - Ownership of Five Percent or Less of a Class:</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Not Applicable</w:t>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6 - Ownership of More Than Five Percent on Behalf of Another Person:</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Not applicable</w:t>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7 - Identification and Classification of the Subsidiary Which Acquired The Security Being Reported on by the Parent Holding Company</w:t>
      </w:r>
      <w:r>
        <w:rPr>
          <w:rFonts w:ascii="Arial" w:cs="Arial" w:eastAsia="Arial" w:hAnsi="Arial"/>
          <w:sz w:val="17"/>
          <w:szCs w:val="17"/>
          <w:color w:val="auto"/>
        </w:rPr>
        <w:t>:</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See Attached Appendix A</w:t>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8 - Identification and Classification of Members of Group:</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Not applicable</w:t>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9 - Notice of Dissolution of Group:</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Not applicable</w:t>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10 - Certification:</w:t>
      </w:r>
    </w:p>
    <w:p>
      <w:pPr>
        <w:spacing w:after="0" w:line="210" w:lineRule="exact"/>
        <w:rPr>
          <w:sz w:val="20"/>
          <w:szCs w:val="20"/>
          <w:color w:val="auto"/>
        </w:rPr>
      </w:pPr>
    </w:p>
    <w:p>
      <w:pPr>
        <w:ind w:firstLine="86"/>
        <w:spacing w:after="0" w:line="261" w:lineRule="auto"/>
        <w:rPr>
          <w:sz w:val="20"/>
          <w:szCs w:val="20"/>
          <w:color w:val="auto"/>
        </w:rPr>
      </w:pPr>
      <w:r>
        <w:rPr>
          <w:rFonts w:ascii="Arial" w:cs="Arial" w:eastAsia="Arial" w:hAnsi="Arial"/>
          <w:sz w:val="17"/>
          <w:szCs w:val="17"/>
          <w:color w:val="auto"/>
        </w:rPr>
        <w:t>By signing below I certify that, to the best of my knowledge and belief, the securities referred to above were acquired in the ordinary course of business and were not acquired for the purpose of and do not have the effect of changing or influencing the control of the issuer of such securities and were not acquired in connection with or as a participant in any transaction having such purpose or effect.</w:t>
      </w:r>
    </w:p>
    <w:p>
      <w:pPr>
        <w:spacing w:after="0" w:line="17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Signature</w:t>
      </w:r>
    </w:p>
    <w:p>
      <w:pPr>
        <w:spacing w:after="0" w:line="210" w:lineRule="exact"/>
        <w:rPr>
          <w:sz w:val="20"/>
          <w:szCs w:val="20"/>
          <w:color w:val="auto"/>
        </w:rPr>
      </w:pPr>
    </w:p>
    <w:p>
      <w:pPr>
        <w:ind w:left="80"/>
        <w:spacing w:after="0"/>
        <w:rPr>
          <w:sz w:val="20"/>
          <w:szCs w:val="20"/>
          <w:color w:val="auto"/>
        </w:rPr>
      </w:pPr>
      <w:r>
        <w:rPr>
          <w:rFonts w:ascii="Arial" w:cs="Arial" w:eastAsia="Arial" w:hAnsi="Arial"/>
          <w:sz w:val="16"/>
          <w:szCs w:val="16"/>
          <w:color w:val="auto"/>
        </w:rPr>
        <w:t>After reasonable inquiry and to the best of my knowledge and belief, I certify that the information set forth in this statement is true, complete and correct.</w:t>
      </w:r>
    </w:p>
    <w:p>
      <w:pPr>
        <w:spacing w:after="0" w:line="221" w:lineRule="exact"/>
        <w:rPr>
          <w:sz w:val="20"/>
          <w:szCs w:val="20"/>
          <w:color w:val="auto"/>
        </w:rPr>
      </w:pPr>
    </w:p>
    <w:p>
      <w:pPr>
        <w:spacing w:after="0"/>
        <w:rPr>
          <w:sz w:val="20"/>
          <w:szCs w:val="20"/>
          <w:color w:val="auto"/>
        </w:rPr>
      </w:pPr>
      <w:r>
        <w:rPr>
          <w:rFonts w:ascii="Arial" w:cs="Arial" w:eastAsia="Arial" w:hAnsi="Arial"/>
          <w:sz w:val="17"/>
          <w:szCs w:val="17"/>
          <w:color w:val="auto"/>
        </w:rPr>
        <w:t>Date: 02/07/2018</w:t>
      </w:r>
    </w:p>
    <w:p>
      <w:pPr>
        <w:spacing w:after="0" w:line="213" w:lineRule="exact"/>
        <w:rPr>
          <w:sz w:val="20"/>
          <w:szCs w:val="20"/>
          <w:color w:val="auto"/>
        </w:rPr>
      </w:pPr>
    </w:p>
    <w:p>
      <w:pPr>
        <w:ind w:left="3900"/>
        <w:spacing w:after="0"/>
        <w:rPr>
          <w:sz w:val="20"/>
          <w:szCs w:val="20"/>
          <w:color w:val="auto"/>
        </w:rPr>
      </w:pPr>
      <w:r>
        <w:rPr>
          <w:rFonts w:ascii="Arial" w:cs="Arial" w:eastAsia="Arial" w:hAnsi="Arial"/>
          <w:sz w:val="18"/>
          <w:szCs w:val="18"/>
          <w:color w:val="auto"/>
        </w:rPr>
        <w:t>By /s/ Christine M. Buchanan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2608580</wp:posOffset>
            </wp:positionH>
            <wp:positionV relativeFrom="paragraph">
              <wp:posOffset>-10160</wp:posOffset>
            </wp:positionV>
            <wp:extent cx="122872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28725" cy="8890"/>
                    </a:xfrm>
                    <a:prstGeom prst="rect">
                      <a:avLst/>
                    </a:prstGeom>
                    <a:noFill/>
                  </pic:spPr>
                </pic:pic>
              </a:graphicData>
            </a:graphic>
          </wp:anchor>
        </w:drawing>
      </w:r>
    </w:p>
    <w:p>
      <w:pPr>
        <w:spacing w:after="0" w:line="3" w:lineRule="exact"/>
        <w:rPr>
          <w:sz w:val="20"/>
          <w:szCs w:val="20"/>
          <w:color w:val="auto"/>
        </w:rPr>
      </w:pPr>
    </w:p>
    <w:p>
      <w:pPr>
        <w:ind w:left="3900"/>
        <w:spacing w:after="0"/>
        <w:rPr>
          <w:sz w:val="20"/>
          <w:szCs w:val="20"/>
          <w:color w:val="auto"/>
        </w:rPr>
      </w:pPr>
      <w:r>
        <w:rPr>
          <w:rFonts w:ascii="Arial" w:cs="Arial" w:eastAsia="Arial" w:hAnsi="Arial"/>
          <w:sz w:val="18"/>
          <w:szCs w:val="18"/>
          <w:color w:val="auto"/>
        </w:rPr>
        <w:t>Name: Christine M. Buchanan</w:t>
      </w:r>
    </w:p>
    <w:p>
      <w:pPr>
        <w:spacing w:after="0" w:line="9" w:lineRule="exact"/>
        <w:rPr>
          <w:sz w:val="20"/>
          <w:szCs w:val="20"/>
          <w:color w:val="auto"/>
        </w:rPr>
      </w:pPr>
    </w:p>
    <w:p>
      <w:pPr>
        <w:ind w:left="3900"/>
        <w:spacing w:after="0"/>
        <w:rPr>
          <w:sz w:val="20"/>
          <w:szCs w:val="20"/>
          <w:color w:val="auto"/>
        </w:rPr>
      </w:pPr>
      <w:r>
        <w:rPr>
          <w:rFonts w:ascii="Arial" w:cs="Arial" w:eastAsia="Arial" w:hAnsi="Arial"/>
          <w:sz w:val="18"/>
          <w:szCs w:val="18"/>
          <w:color w:val="auto"/>
        </w:rPr>
        <w:t>Title: Principal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329565</wp:posOffset>
            </wp:positionV>
            <wp:extent cx="7267575" cy="215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67575" cy="21590"/>
                    </a:xfrm>
                    <a:prstGeom prst="rect">
                      <a:avLst/>
                    </a:prstGeom>
                    <a:noFill/>
                  </pic:spPr>
                </pic:pic>
              </a:graphicData>
            </a:graphic>
          </wp:anchor>
        </w:drawing>
      </w:r>
    </w:p>
    <w:p>
      <w:pPr>
        <w:sectPr>
          <w:pgSz w:w="11900" w:h="16838" w:orient="portrait"/>
          <w:cols w:equalWidth="0" w:num="1">
            <w:col w:w="11400"/>
          </w:cols>
          <w:pgMar w:left="240" w:top="365" w:right="259" w:bottom="1440" w:gutter="0" w:footer="0" w:header="0"/>
        </w:sectPr>
      </w:pPr>
    </w:p>
    <w:bookmarkStart w:id="4" w:name="page5"/>
    <w:bookmarkEnd w:id="4"/>
    <w:p>
      <w:pPr>
        <w:spacing w:after="0"/>
        <w:rPr>
          <w:sz w:val="20"/>
          <w:szCs w:val="20"/>
          <w:color w:val="auto"/>
        </w:rPr>
      </w:pPr>
      <w:r>
        <w:rPr>
          <w:rFonts w:ascii="Arial" w:cs="Arial" w:eastAsia="Arial" w:hAnsi="Arial"/>
          <w:sz w:val="17"/>
          <w:szCs w:val="17"/>
          <w:color w:val="auto"/>
        </w:rPr>
        <w:t>Appendix A</w:t>
      </w:r>
    </w:p>
    <w:p>
      <w:pPr>
        <w:spacing w:after="0" w:line="210" w:lineRule="exact"/>
        <w:rPr>
          <w:sz w:val="20"/>
          <w:szCs w:val="20"/>
          <w:color w:val="auto"/>
        </w:rPr>
      </w:pPr>
    </w:p>
    <w:p>
      <w:pPr>
        <w:ind w:firstLine="40"/>
        <w:spacing w:after="0" w:line="274" w:lineRule="auto"/>
        <w:rPr>
          <w:sz w:val="20"/>
          <w:szCs w:val="20"/>
          <w:color w:val="auto"/>
        </w:rPr>
      </w:pPr>
      <w:r>
        <w:rPr>
          <w:rFonts w:ascii="Arial" w:cs="Arial" w:eastAsia="Arial" w:hAnsi="Arial"/>
          <w:sz w:val="17"/>
          <w:szCs w:val="17"/>
          <w:color w:val="auto"/>
        </w:rPr>
        <w:t>Vanguard Fiduciary Trust Company ("VFTC"), a wholly-owned subsidiary of The Vanguard Group, Inc., is the beneficial owner of 393,540 shares or .08% of the Common Stock outstanding of the Company as a result of its serving as investment manager of collective trust accounts.</w:t>
      </w:r>
    </w:p>
    <w:p>
      <w:pPr>
        <w:spacing w:after="0" w:line="161" w:lineRule="exact"/>
        <w:rPr>
          <w:sz w:val="20"/>
          <w:szCs w:val="20"/>
          <w:color w:val="auto"/>
        </w:rPr>
      </w:pPr>
    </w:p>
    <w:p>
      <w:pPr>
        <w:ind w:right="60"/>
        <w:spacing w:after="0" w:line="274" w:lineRule="auto"/>
        <w:rPr>
          <w:sz w:val="20"/>
          <w:szCs w:val="20"/>
          <w:color w:val="auto"/>
        </w:rPr>
      </w:pPr>
      <w:r>
        <w:rPr>
          <w:rFonts w:ascii="Arial" w:cs="Arial" w:eastAsia="Arial" w:hAnsi="Arial"/>
          <w:sz w:val="17"/>
          <w:szCs w:val="17"/>
          <w:color w:val="auto"/>
        </w:rPr>
        <w:t>Vanguard Investments Australia, Ltd. ("VIA"), a wholly-owned subsidiary of The Vanguard Group, Inc., is the beneficial owner of 384,647 shares or .08% of the Common Stock outstanding of the Company as a result of its serving as investment manager of Australian investment offerings.</w:t>
      </w:r>
    </w:p>
    <w:sectPr>
      <w:pgSz w:w="11900" w:h="16838" w:orient="portrait"/>
      <w:cols w:equalWidth="0" w:num="1">
        <w:col w:w="11180"/>
      </w:cols>
      <w:pgMar w:left="240" w:top="365" w:right="4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D1B58BA"/>
    <w:multiLevelType w:val="hybridMultilevel"/>
    <w:lvl w:ilvl="0">
      <w:lvlJc w:val="left"/>
      <w:lvlText w:val="(%1)"/>
      <w:numFmt w:val="upperLetter"/>
      <w:start w:val="24"/>
    </w:lvl>
  </w:abstractNum>
  <w:abstractNum w:abstractNumId="1">
    <w:nsid w:val="507ED7AB"/>
    <w:multiLevelType w:val="hybridMultilevel"/>
    <w:lvl w:ilvl="0">
      <w:lvlJc w:val="left"/>
      <w:lvlText w:val="%1."/>
      <w:numFmt w:val="decimal"/>
      <w:start w:val="1"/>
    </w:lvl>
    <w:lvl w:ilvl="1">
      <w:lvlJc w:val="left"/>
      <w:lvlText w:val="%2"/>
      <w:numFmt w:val="upperLetter"/>
      <w:start w:val="1"/>
    </w:lvl>
  </w:abstractNum>
  <w:abstractNum w:abstractNumId="2">
    <w:nsid w:val="2EB141F2"/>
    <w:multiLevelType w:val="hybridMultilevel"/>
    <w:lvl w:ilvl="0">
      <w:lvlJc w:val="left"/>
      <w:lvlText w:val="%1."/>
      <w:numFmt w:val="decimal"/>
      <w:start w:val="3"/>
    </w:lvl>
  </w:abstractNum>
  <w:abstractNum w:abstractNumId="3">
    <w:nsid w:val="41B71EFB"/>
    <w:multiLevelType w:val="hybridMultilevel"/>
    <w:lvl w:ilvl="0">
      <w:lvlJc w:val="left"/>
      <w:lvlText w:val="%1."/>
      <w:numFmt w:val="decimal"/>
      <w:start w:val="5"/>
    </w:lvl>
  </w:abstractNum>
  <w:abstractNum w:abstractNumId="4">
    <w:nsid w:val="79E2A9E3"/>
    <w:multiLevelType w:val="hybridMultilevel"/>
    <w:lvl w:ilvl="0">
      <w:lvlJc w:val="left"/>
      <w:lvlText w:val="%1."/>
      <w:numFmt w:val="decimal"/>
      <w:start w:val="12"/>
    </w:lvl>
  </w:abstractNum>
  <w:abstractNum w:abstractNumId="5">
    <w:nsid w:val="7545E146"/>
    <w:multiLevelType w:val="hybridMultilevel"/>
    <w:lvl w:ilvl="0">
      <w:lvlJc w:val="left"/>
      <w:lvlText w:val="(%1)"/>
      <w:numFmt w:val="lowerLetter"/>
      <w:start w:val="1"/>
    </w:lvl>
  </w:abstractNum>
  <w:abstractNum w:abstractNumId="6">
    <w:nsid w:val="515F007C"/>
    <w:multiLevelType w:val="hybridMultilevel"/>
    <w:lvl w:ilvl="0">
      <w:lvlJc w:val="left"/>
      <w:lvlText w:val="(%1)"/>
      <w:numFmt w:val="lowerLetter"/>
      <w:start w:val="3"/>
    </w:lvl>
  </w:abstractNum>
  <w:abstractNum w:abstractNumId="7">
    <w:nsid w:val="5BD062C2"/>
    <w:multiLevelType w:val="hybridMultilevel"/>
    <w:lvl w:ilvl="0">
      <w:lvlJc w:val="left"/>
      <w:lvlText w:val="(%1)"/>
      <w:numFmt w:val="lowerLetter"/>
      <w:start w:val="9"/>
    </w:lvl>
  </w:abstractNum>
  <w:abstractNum w:abstractNumId="8">
    <w:nsid w:val="12200854"/>
    <w:multiLevelType w:val="hybridMultilevel"/>
    <w:lvl w:ilvl="0">
      <w:lvlJc w:val="left"/>
      <w:lvlText w:val="(%1)"/>
      <w:numFmt w:val="lowerLetter"/>
      <w:start w:val="35"/>
    </w:lvl>
  </w:abstractNum>
  <w:abstractNum w:abstractNumId="9">
    <w:nsid w:val="4DB127F8"/>
    <w:multiLevelType w:val="hybridMultilevel"/>
    <w:lvl w:ilvl="0">
      <w:lvlJc w:val="left"/>
      <w:lvlText w:val="(%1)"/>
      <w:numFmt w:val="lowerLetter"/>
      <w:start w:val="6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2019-12-16T10:26:14Z</dcterms:created>
  <dcterms:modified xsi:type="dcterms:W3CDTF">2019-12-16T10:26:14Z</dcterms:modified>
</cp:coreProperties>
</file>