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7858" w:hAnchor="page" w:vAnchor="page" w:x="280" w:y="1333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198" w:hAnchor="page" w:vAnchor="page" w:x="280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735" w:hAnchor="page" w:vAnchor="page" w:x="280" w:y="12844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6510" w:hAnchor="page" w:vAnchor="page" w:x="280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12b-2 of the Securities Exchange Act of 1934 (§240.12b-2 of this chapter).</w:t>
      </w:r>
    </w:p>
    <w:p>
      <w:pPr>
        <w:pStyle w:val="Normal"/>
        <w:framePr w:w="14207" w:hAnchor="page" w:vAnchor="page" w:x="28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an emerging growth company as defined in Rule 405 of the Securities Act of 1933 (§230.405 of this chapter) or Rule</w:t>
      </w:r>
    </w:p>
    <w:p>
      <w:pPr>
        <w:pStyle w:val="Normal"/>
        <w:framePr w:w="10132" w:hAnchor="page" w:vAnchor="page" w:x="280" w:y="1177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13e-4(c) under the Exchange Act (17 CFR 240.13e-4(c))</w:t>
      </w:r>
    </w:p>
    <w:p>
      <w:pPr>
        <w:pStyle w:val="Normal"/>
        <w:framePr w:w="10154" w:hAnchor="page" w:vAnchor="page" w:x="280" w:y="11327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14d-2(b) under the Exchange Act (17 CFR 240.14d-2(b))</w:t>
      </w:r>
    </w:p>
    <w:p>
      <w:pPr>
        <w:pStyle w:val="Normal"/>
        <w:framePr w:w="8234" w:hAnchor="page" w:vAnchor="page" w:x="280" w:y="1086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Soliciting material pursuant to Rule 14a-12 under the Exchange Act (17 CFR 240.14a-12)</w:t>
      </w:r>
    </w:p>
    <w:p>
      <w:pPr>
        <w:pStyle w:val="Normal"/>
        <w:framePr w:w="8208" w:hAnchor="page" w:vAnchor="page" w:x="280" w:y="1041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Written communications pursuant to Rule 425 under the Securities Act (17 CFR 230.425)</w:t>
      </w:r>
    </w:p>
    <w:p>
      <w:pPr>
        <w:pStyle w:val="Normal"/>
        <w:framePr w:w="14128" w:hAnchor="page" w:vAnchor="page" w:x="28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Check the appropriate box below if the Form 8-K filing is intended to simultaneously satisfy the filing obligation of the registrant under any of the following provisions:</w:t>
      </w:r>
    </w:p>
    <w:p>
      <w:pPr>
        <w:pStyle w:val="Normal"/>
        <w:framePr w:w="6027" w:hAnchor="page" w:vAnchor="page" w:x="3689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504" w:hAnchor="page" w:vAnchor="page" w:x="557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applicable</w:t>
      </w:r>
    </w:p>
    <w:p>
      <w:pPr>
        <w:pStyle w:val="Normal"/>
        <w:framePr w:w="4689" w:hAnchor="page" w:vAnchor="page" w:x="4246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075" w:hAnchor="page" w:vAnchor="page" w:x="5355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+1 281-591-4000</w:t>
      </w:r>
    </w:p>
    <w:p>
      <w:pPr>
        <w:pStyle w:val="Normal"/>
        <w:framePr w:w="3379" w:hAnchor="page" w:vAnchor="page" w:x="82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office)</w:t>
      </w:r>
    </w:p>
    <w:p>
      <w:pPr>
        <w:pStyle w:val="Normal"/>
        <w:framePr w:w="1099" w:hAnchor="page" w:vAnchor="page" w:x="9698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464" w:hAnchor="page" w:vAnchor="page" w:x="120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United States of America</w:t>
      </w:r>
    </w:p>
    <w:p>
      <w:pPr>
        <w:pStyle w:val="Normal"/>
        <w:framePr w:w="817" w:hAnchor="page" w:vAnchor="page" w:x="9825" w:y="661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607" w:hAnchor="page" w:vAnchor="page" w:x="156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Houston, Texas</w:t>
      </w:r>
    </w:p>
    <w:p>
      <w:pPr>
        <w:pStyle w:val="Normal"/>
        <w:framePr w:w="1803" w:hAnchor="page" w:vAnchor="page" w:x="147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One Subsea Lane</w:t>
      </w:r>
    </w:p>
    <w:p>
      <w:pPr>
        <w:pStyle w:val="Normal"/>
        <w:framePr w:w="3820" w:hAnchor="page" w:vAnchor="page" w:x="63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1885" w:hAnchor="page" w:vAnchor="page" w:x="1446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250" w:hAnchor="page" w:vAnchor="page" w:x="5682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001-37983</w:t>
      </w:r>
    </w:p>
    <w:p>
      <w:pPr>
        <w:pStyle w:val="Normal"/>
        <w:framePr w:w="1370" w:hAnchor="page" w:vAnchor="page" w:x="9610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5611" w:hAnchor="page" w:vAnchor="page" w:x="3872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188" w:hAnchor="page" w:vAnchor="page" w:x="4436" w:y="450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1668" w:hAnchor="page" w:vAnchor="page" w:x="5525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July 25, 2024</w:t>
      </w:r>
    </w:p>
    <w:p>
      <w:pPr>
        <w:pStyle w:val="Normal"/>
        <w:framePr w:w="6763" w:hAnchor="page" w:vAnchor="page" w:x="338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Pursuant to Section 13 OR 15(d) of The Securities Exchange Act of 1934</w:t>
      </w:r>
    </w:p>
    <w:p>
      <w:pPr>
        <w:pStyle w:val="Normal"/>
        <w:framePr w:w="2481" w:hAnchor="page" w:vAnchor="page" w:x="5186" w:y="2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65.9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66.6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65.9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65.9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278pt;margin-top:398.1pt;z-index:-16777092;width:56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684.8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.75pt;margin-top:687.85pt;z-index:-16777084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94.75pt;margin-top:684.8pt;z-index:-1677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9pt;margin-top:684.8pt;z-index:-16777076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13.75pt;margin-top:684.8pt;z-index:-16777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</w:p>
    <w:p>
      <w:pPr>
        <w:pStyle w:val="Normal"/>
        <w:framePr w:w="641" w:hAnchor="page" w:vAnchor="page" w:x="315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1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6526" w:hAnchor="page" w:vAnchor="page" w:x="2011" w:y="31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July 25, 2024</w:t>
      </w:r>
    </w:p>
    <w:p>
      <w:pPr>
        <w:pStyle w:val="Normal"/>
        <w:framePr w:w="4464" w:hAnchor="page" w:vAnchor="page" w:x="315" w:y="2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18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4161" w:hAnchor="page" w:vAnchor="page" w:x="280" w:y="13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June 30, 2024. A copy of the news release is furnished as Exhibit 99.1 to this report and is incorporated herein by reference.</w:t>
      </w:r>
    </w:p>
    <w:p>
      <w:pPr>
        <w:pStyle w:val="Normal"/>
        <w:framePr w:w="14244" w:hAnchor="page" w:vAnchor="page" w:x="280" w:y="11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25, 2024, TechnipFMC plc (the "Company") issued a news release announcing its financial results for the fiscal quarter</w:t>
      </w:r>
    </w:p>
    <w:p>
      <w:pPr>
        <w:pStyle w:val="Normal"/>
        <w:framePr w:w="6817" w:hAnchor="page" w:vAnchor="page" w:x="280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7pt;margin-top:1pt;z-index:-16777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35.2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235.95pt;z-index:-16777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96.25pt;margin-top:235.2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235.2pt;z-index:-16777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98.6pt;margin-top:154.9pt;z-index:-16777048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.75pt;margin-top:154.9pt;z-index:-1677704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66.15pt;z-index:-16777040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99.55pt;margin-top:166.15pt;z-index:-16777036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302pt;margin-top:166.15pt;z-index:-16777032;width:1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302pt;margin-top:166.15pt;z-index:-16777028;width:1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319.8pt;margin-top:166.15pt;z-index:-16777024;width:4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319.8pt;margin-top:166.15pt;z-index:-16777020;width:4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</w:p>
    <w:p>
      <w:pPr>
        <w:pStyle w:val="Normal"/>
        <w:framePr w:w="6361" w:hAnchor="page" w:vAnchor="page" w:x="4429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1668" w:hAnchor="page" w:vAnchor="page" w:x="1126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July 25, 2024</w:t>
      </w:r>
    </w:p>
    <w:p>
      <w:pPr>
        <w:pStyle w:val="Normal"/>
        <w:framePr w:w="193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7pt;margin-top:1pt;z-index:-167770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219.45pt;margin-top:177.4pt;z-index:-16777012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</w:p>
    <w:p>
      <w:pPr>
        <w:pStyle w:val="Normal"/>
        <w:framePr w:w="1778" w:hAnchor="page" w:vAnchor="page" w:x="5459" w:y="14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24</w:t>
      </w:r>
    </w:p>
    <w:p>
      <w:pPr>
        <w:pStyle w:val="Normal"/>
        <w:framePr w:w="4641" w:hAnchor="page" w:vAnchor="page" w:x="280" w:y="133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exchange, was $379.1 million (Exhibit 7).</w:t>
      </w:r>
    </w:p>
    <w:p>
      <w:pPr>
        <w:pStyle w:val="Normal"/>
        <w:framePr w:w="13088" w:hAnchor="page" w:vAnchor="page" w:x="280" w:y="130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excluding the after-tax impact of foreign exchange, net income was $204.3 million. Adjusted EBITDA, excluding foreign</w:t>
      </w:r>
    </w:p>
    <w:p>
      <w:pPr>
        <w:pStyle w:val="Normal"/>
        <w:framePr w:w="13076" w:hAnchor="page" w:vAnchor="page" w:x="280" w:y="127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 in  total  Company  results  was  a  foreign  exchange  loss  of  $17.7  million,  or  $17.8  million  after-tax.  When</w:t>
      </w:r>
    </w:p>
    <w:p>
      <w:pPr>
        <w:pStyle w:val="Normal"/>
        <w:framePr w:w="2273" w:hAnchor="page" w:vAnchor="page" w:x="280" w:y="123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</w:t>
      </w:r>
    </w:p>
    <w:p>
      <w:pPr>
        <w:pStyle w:val="Normal"/>
        <w:framePr w:w="13075" w:hAnchor="page" w:vAnchor="page" w:x="280" w:y="120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$361.4 million; adjusted EBITDA margin was 15.5</w:t>
      </w:r>
    </w:p>
    <w:p>
      <w:pPr>
        <w:pStyle w:val="Normal"/>
        <w:framePr w:w="8610" w:hAnchor="page" w:vAnchor="page" w:x="280" w:y="116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net income was $188.9 million, or $0.43 per diluted share (Exhibit 6).</w:t>
      </w:r>
    </w:p>
    <w:p>
      <w:pPr>
        <w:pStyle w:val="Normal"/>
        <w:framePr w:w="3444" w:hAnchor="page" w:vAnchor="page" w:x="280" w:y="112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 $0.01 per share (Exhibit 6).</w:t>
      </w:r>
    </w:p>
    <w:p>
      <w:pPr>
        <w:pStyle w:val="Normal"/>
        <w:framePr w:w="13085" w:hAnchor="page" w:vAnchor="page" w:x="280" w:y="109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million, or $0.42 per diluted share. These results included after-tax charges and credits totaling $2.4 million of expense,</w:t>
      </w:r>
    </w:p>
    <w:p>
      <w:pPr>
        <w:pStyle w:val="Normal"/>
        <w:framePr w:w="13089" w:hAnchor="page" w:vAnchor="page" w:x="280" w:y="107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second quarter was $2,325.6 million. Net income attributable to TechnipFMC was $186.5</w:t>
      </w:r>
    </w:p>
    <w:p>
      <w:pPr>
        <w:pStyle w:val="Normal"/>
        <w:framePr w:w="2187" w:hAnchor="page" w:vAnchor="page" w:x="280" w:y="10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n/m - not meaningful</w:t>
      </w:r>
    </w:p>
    <w:p>
      <w:pPr>
        <w:pStyle w:val="Normal"/>
        <w:framePr w:w="1174" w:hAnchor="page" w:vAnchor="page" w:x="345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308" w:hAnchor="page" w:vAnchor="page" w:x="551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$13,898.8</w:t>
      </w:r>
    </w:p>
    <w:p>
      <w:pPr>
        <w:pStyle w:val="Normal"/>
        <w:framePr w:w="1308" w:hAnchor="page" w:vAnchor="page" w:x="6967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$13,492.5</w:t>
      </w:r>
    </w:p>
    <w:p>
      <w:pPr>
        <w:pStyle w:val="Normal"/>
        <w:framePr w:w="1308" w:hAnchor="page" w:vAnchor="page" w:x="8483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$13,278.6</w:t>
      </w:r>
    </w:p>
    <w:p>
      <w:pPr>
        <w:pStyle w:val="Normal"/>
        <w:framePr w:w="787" w:hAnchor="page" w:vAnchor="page" w:x="981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3.0%</w:t>
      </w:r>
    </w:p>
    <w:p>
      <w:pPr>
        <w:pStyle w:val="Normal"/>
        <w:framePr w:w="787" w:hAnchor="page" w:vAnchor="page" w:x="11079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4.7%</w:t>
      </w:r>
    </w:p>
    <w:p>
      <w:pPr>
        <w:pStyle w:val="Normal"/>
        <w:framePr w:w="2001" w:hAnchor="page" w:vAnchor="page" w:x="345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22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$3,092.2</w:t>
      </w:r>
    </w:p>
    <w:p>
      <w:pPr>
        <w:pStyle w:val="Normal"/>
        <w:framePr w:w="1175" w:hAnchor="page" w:vAnchor="page" w:x="7078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$2,774.4</w:t>
      </w:r>
    </w:p>
    <w:p>
      <w:pPr>
        <w:pStyle w:val="Normal"/>
        <w:framePr w:w="1175" w:hAnchor="page" w:vAnchor="page" w:x="8594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$4,447.3</w:t>
      </w:r>
    </w:p>
    <w:p>
      <w:pPr>
        <w:pStyle w:val="Normal"/>
        <w:framePr w:w="903" w:hAnchor="page" w:vAnchor="page" w:x="9762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11.5%</w:t>
      </w:r>
    </w:p>
    <w:p>
      <w:pPr>
        <w:pStyle w:val="Normal"/>
        <w:framePr w:w="1081" w:hAnchor="page" w:vAnchor="page" w:x="10957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(30.5%)</w:t>
      </w:r>
    </w:p>
    <w:p>
      <w:pPr>
        <w:pStyle w:val="Normal"/>
        <w:framePr w:w="4336" w:hAnchor="page" w:vAnchor="page" w:x="345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per share</w:t>
      </w:r>
    </w:p>
    <w:p>
      <w:pPr>
        <w:pStyle w:val="Normal"/>
        <w:framePr w:w="841" w:hAnchor="page" w:vAnchor="page" w:x="5900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$0.43</w:t>
      </w:r>
    </w:p>
    <w:p>
      <w:pPr>
        <w:pStyle w:val="Normal"/>
        <w:framePr w:w="841" w:hAnchor="page" w:vAnchor="page" w:x="7356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$0.22</w:t>
      </w:r>
    </w:p>
    <w:p>
      <w:pPr>
        <w:pStyle w:val="Normal"/>
        <w:framePr w:w="841" w:hAnchor="page" w:vAnchor="page" w:x="8872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$0.10</w:t>
      </w:r>
    </w:p>
    <w:p>
      <w:pPr>
        <w:pStyle w:val="Normal"/>
        <w:framePr w:w="921" w:hAnchor="page" w:vAnchor="page" w:x="9755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95.5%</w:t>
      </w:r>
    </w:p>
    <w:p>
      <w:pPr>
        <w:pStyle w:val="Normal"/>
        <w:framePr w:w="1054" w:hAnchor="page" w:vAnchor="page" w:x="10967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330.0%</w:t>
      </w:r>
    </w:p>
    <w:p>
      <w:pPr>
        <w:pStyle w:val="Normal"/>
        <w:framePr w:w="2601" w:hAnchor="page" w:vAnchor="page" w:x="345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net income</w:t>
      </w:r>
    </w:p>
    <w:p>
      <w:pPr>
        <w:pStyle w:val="Normal"/>
        <w:framePr w:w="974" w:hAnchor="page" w:vAnchor="page" w:x="5789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$188.9</w:t>
      </w:r>
    </w:p>
    <w:p>
      <w:pPr>
        <w:pStyle w:val="Normal"/>
        <w:framePr w:w="841" w:hAnchor="page" w:vAnchor="page" w:x="7356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$97.6</w:t>
      </w:r>
    </w:p>
    <w:p>
      <w:pPr>
        <w:pStyle w:val="Normal"/>
        <w:framePr w:w="841" w:hAnchor="page" w:vAnchor="page" w:x="8872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$44.8</w:t>
      </w:r>
    </w:p>
    <w:p>
      <w:pPr>
        <w:pStyle w:val="Normal"/>
        <w:framePr w:w="921" w:hAnchor="page" w:vAnchor="page" w:x="9755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93.5%</w:t>
      </w:r>
    </w:p>
    <w:p>
      <w:pPr>
        <w:pStyle w:val="Normal"/>
        <w:framePr w:w="1054" w:hAnchor="page" w:vAnchor="page" w:x="10967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321.7%</w:t>
      </w:r>
    </w:p>
    <w:p>
      <w:pPr>
        <w:pStyle w:val="Normal"/>
        <w:framePr w:w="3095" w:hAnchor="page" w:vAnchor="page" w:x="34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76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15.5 %</w:t>
      </w:r>
    </w:p>
    <w:p>
      <w:pPr>
        <w:pStyle w:val="Normal"/>
        <w:framePr w:w="988" w:hAnchor="page" w:vAnchor="page" w:x="7221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12.4 %</w:t>
      </w:r>
    </w:p>
    <w:p>
      <w:pPr>
        <w:pStyle w:val="Normal"/>
        <w:framePr w:w="988" w:hAnchor="page" w:vAnchor="page" w:x="8678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10.4 %</w:t>
      </w:r>
    </w:p>
    <w:p>
      <w:pPr>
        <w:pStyle w:val="Normal"/>
        <w:framePr w:w="1094" w:hAnchor="page" w:vAnchor="page" w:x="9682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310 bps</w:t>
      </w:r>
    </w:p>
    <w:p>
      <w:pPr>
        <w:pStyle w:val="Normal"/>
        <w:framePr w:w="1094" w:hAnchor="page" w:vAnchor="page" w:x="10951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510 bps</w:t>
      </w:r>
    </w:p>
    <w:p>
      <w:pPr>
        <w:pStyle w:val="Normal"/>
        <w:framePr w:w="2228" w:hAnchor="page" w:vAnchor="page" w:x="34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789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$361.4</w:t>
      </w:r>
    </w:p>
    <w:p>
      <w:pPr>
        <w:pStyle w:val="Normal"/>
        <w:framePr w:w="974" w:hAnchor="page" w:vAnchor="page" w:x="724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$252.6</w:t>
      </w:r>
    </w:p>
    <w:p>
      <w:pPr>
        <w:pStyle w:val="Normal"/>
        <w:framePr w:w="974" w:hAnchor="page" w:vAnchor="page" w:x="8761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$205.9</w:t>
      </w:r>
    </w:p>
    <w:p>
      <w:pPr>
        <w:pStyle w:val="Normal"/>
        <w:framePr w:w="921" w:hAnchor="page" w:vAnchor="page" w:x="975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43.1%</w:t>
      </w:r>
    </w:p>
    <w:p>
      <w:pPr>
        <w:pStyle w:val="Normal"/>
        <w:framePr w:w="921" w:hAnchor="page" w:vAnchor="page" w:x="11023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75.5%</w:t>
      </w:r>
    </w:p>
    <w:p>
      <w:pPr>
        <w:pStyle w:val="Normal"/>
        <w:framePr w:w="3976" w:hAnchor="page" w:vAnchor="page" w:x="345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(loss) per share</w:t>
      </w:r>
    </w:p>
    <w:p>
      <w:pPr>
        <w:pStyle w:val="Normal"/>
        <w:framePr w:w="841" w:hAnchor="page" w:vAnchor="page" w:x="5900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$0.42</w:t>
      </w:r>
    </w:p>
    <w:p>
      <w:pPr>
        <w:pStyle w:val="Normal"/>
        <w:framePr w:w="841" w:hAnchor="page" w:vAnchor="page" w:x="7356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$0.35</w:t>
      </w:r>
    </w:p>
    <w:p>
      <w:pPr>
        <w:pStyle w:val="Normal"/>
        <w:framePr w:w="1001" w:hAnchor="page" w:vAnchor="page" w:x="8739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$(0.20)</w:t>
      </w:r>
    </w:p>
    <w:p>
      <w:pPr>
        <w:pStyle w:val="Normal"/>
        <w:framePr w:w="921" w:hAnchor="page" w:vAnchor="page" w:x="9755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20.0%</w:t>
      </w:r>
    </w:p>
    <w:p>
      <w:pPr>
        <w:pStyle w:val="Normal"/>
        <w:framePr w:w="640" w:hAnchor="page" w:vAnchor="page" w:x="11140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3109" w:hAnchor="page" w:vAnchor="page" w:x="345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 (loss) margin</w:t>
      </w:r>
    </w:p>
    <w:p>
      <w:pPr>
        <w:pStyle w:val="Normal"/>
        <w:framePr w:w="854" w:hAnchor="page" w:vAnchor="page" w:x="5877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42424"/>
          <w:w w:val="100"/>
          <w:sz w:val="20"/>
          <w:szCs w:val="20"/>
        </w:rPr>
      </w:pPr>
      <w:r>
        <w:rPr>
          <w:rFonts w:ascii="ArialMT" w:hAnsi="ArialMT" w:fareast="ArialMT" w:cs="ArialMT"/>
          <w:color w:val="242424"/>
          <w:w w:val="100"/>
          <w:sz w:val="20"/>
          <w:szCs w:val="20"/>
        </w:rPr>
        <w:t>8.0 %</w:t>
      </w:r>
    </w:p>
    <w:p>
      <w:pPr>
        <w:pStyle w:val="Normal"/>
        <w:framePr w:w="854" w:hAnchor="page" w:vAnchor="page" w:x="7333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7.7 %</w:t>
      </w:r>
    </w:p>
    <w:p>
      <w:pPr>
        <w:pStyle w:val="Normal"/>
        <w:framePr w:w="1014" w:hAnchor="page" w:vAnchor="page" w:x="8722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(4.4 %)</w:t>
      </w:r>
    </w:p>
    <w:p>
      <w:pPr>
        <w:pStyle w:val="Normal"/>
        <w:framePr w:w="961" w:hAnchor="page" w:vAnchor="page" w:x="9738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 bps</w:t>
      </w:r>
    </w:p>
    <w:p>
      <w:pPr>
        <w:pStyle w:val="Normal"/>
        <w:framePr w:w="640" w:hAnchor="page" w:vAnchor="page" w:x="1114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2241" w:hAnchor="page" w:vAnchor="page" w:x="34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 (loss)</w:t>
      </w:r>
    </w:p>
    <w:p>
      <w:pPr>
        <w:pStyle w:val="Normal"/>
        <w:framePr w:w="974" w:hAnchor="page" w:vAnchor="page" w:x="5789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42424"/>
          <w:w w:val="100"/>
          <w:sz w:val="20"/>
          <w:szCs w:val="20"/>
        </w:rPr>
      </w:pPr>
      <w:r>
        <w:rPr>
          <w:rFonts w:ascii="ArialMT" w:hAnsi="ArialMT" w:fareast="ArialMT" w:cs="ArialMT"/>
          <w:color w:val="242424"/>
          <w:w w:val="100"/>
          <w:sz w:val="20"/>
          <w:szCs w:val="20"/>
        </w:rPr>
        <w:t>$186.5</w:t>
      </w:r>
    </w:p>
    <w:p>
      <w:pPr>
        <w:pStyle w:val="Normal"/>
        <w:framePr w:w="974" w:hAnchor="page" w:vAnchor="page" w:x="724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$157.1</w:t>
      </w:r>
    </w:p>
    <w:p>
      <w:pPr>
        <w:pStyle w:val="Normal"/>
        <w:framePr w:w="1001" w:hAnchor="page" w:vAnchor="page" w:x="8739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$(87.2)</w:t>
      </w:r>
    </w:p>
    <w:p>
      <w:pPr>
        <w:pStyle w:val="Normal"/>
        <w:framePr w:w="921" w:hAnchor="page" w:vAnchor="page" w:x="975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18.7%</w:t>
      </w:r>
    </w:p>
    <w:p>
      <w:pPr>
        <w:pStyle w:val="Normal"/>
        <w:framePr w:w="640" w:hAnchor="page" w:vAnchor="page" w:x="1114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n/m</w:t>
      </w:r>
    </w:p>
    <w:p>
      <w:pPr>
        <w:pStyle w:val="Normal"/>
        <w:framePr w:w="1241" w:hAnchor="page" w:vAnchor="page" w:x="34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22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$2,325.6</w:t>
      </w:r>
    </w:p>
    <w:p>
      <w:pPr>
        <w:pStyle w:val="Normal"/>
        <w:framePr w:w="1175" w:hAnchor="page" w:vAnchor="page" w:x="7078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$2,042.0</w:t>
      </w:r>
    </w:p>
    <w:p>
      <w:pPr>
        <w:pStyle w:val="Normal"/>
        <w:framePr w:w="1175" w:hAnchor="page" w:vAnchor="page" w:x="8594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$1,972.2</w:t>
      </w:r>
    </w:p>
    <w:p>
      <w:pPr>
        <w:pStyle w:val="Normal"/>
        <w:framePr w:w="921" w:hAnchor="page" w:vAnchor="page" w:x="975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13.9%</w:t>
      </w:r>
    </w:p>
    <w:p>
      <w:pPr>
        <w:pStyle w:val="Normal"/>
        <w:framePr w:w="921" w:hAnchor="page" w:vAnchor="page" w:x="11023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17.9%</w:t>
      </w:r>
    </w:p>
    <w:p>
      <w:pPr>
        <w:pStyle w:val="Normal"/>
        <w:framePr w:w="619" w:hAnchor="page" w:vAnchor="page" w:x="552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6978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464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63" w:hAnchor="page" w:vAnchor="page" w:x="9634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07" w:hAnchor="page" w:vAnchor="page" w:x="5402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862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44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39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77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669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</w:t>
      </w:r>
    </w:p>
    <w:p>
      <w:pPr>
        <w:pStyle w:val="Normal"/>
        <w:framePr w:w="4278" w:hAnchor="page" w:vAnchor="page" w:x="280" w:y="50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reported second quarter 2024 results.</w:t>
      </w:r>
    </w:p>
    <w:p>
      <w:pPr>
        <w:pStyle w:val="Normal"/>
        <w:framePr w:w="12772" w:hAnchor="page" w:vAnchor="page" w:x="280" w:y="48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July 25, 2024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(the “Company” or “TechnipFMC”) today</w:t>
      </w:r>
    </w:p>
    <w:p>
      <w:pPr>
        <w:pStyle w:val="Normal"/>
        <w:framePr w:w="9625" w:hAnchor="page" w:vAnchor="page" w:x="280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242424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Full-year financial guidance increased to reflect strong </w:t>
      </w:r>
      <w:r>
        <w:rPr>
          <w:rFonts w:ascii="Arial-BoldMT" w:hAnsi="Arial-BoldMT" w:fareast="Arial-BoldMT" w:cs="Arial-BoldMT"/>
          <w:color w:val="242424"/>
          <w:w w:val="100"/>
          <w:sz w:val="22"/>
          <w:szCs w:val="22"/>
        </w:rPr>
        <w:t xml:space="preserve"> operational performance</w:t>
      </w:r>
    </w:p>
    <w:p>
      <w:pPr>
        <w:pStyle w:val="Normal"/>
        <w:framePr w:w="8737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Cash flow from operations of $231 million; free cash flow of $180 million</w:t>
      </w:r>
    </w:p>
    <w:p>
      <w:pPr>
        <w:pStyle w:val="Normal"/>
        <w:framePr w:w="7240" w:hAnchor="page" w:vAnchor="page" w:x="280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Total Company backlog reached new record of $13.9 billion</w:t>
      </w:r>
    </w:p>
    <w:p>
      <w:pPr>
        <w:pStyle w:val="Normal"/>
        <w:framePr w:w="7042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Subsea inbound orders of $2.8 billion; book-to-bill of 1.4x</w:t>
      </w:r>
    </w:p>
    <w:p>
      <w:pPr>
        <w:pStyle w:val="Normal"/>
        <w:framePr w:w="8927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Second Quarter 2024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7pt;margin-top:1pt;z-index:-167770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759.9pt;z-index:-16777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3pt;margin-top:760.65pt;z-index:-16777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596.25pt;margin-top:759.9pt;z-index:-16776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3pt;margin-top:759.9pt;z-index:-16776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4pt;margin-top:2pt;z-index:-1677698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32.45pt;margin-top:504.65pt;z-index:-167769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595.5pt;margin-top:491.15pt;z-index:-16776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468.65pt;margin-top:504.65pt;z-index:-167769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32.45pt;margin-top:491.15pt;z-index:-16776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392.8pt;margin-top:504.65pt;z-index:-1677696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468.65pt;margin-top:491.15pt;z-index:-16776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320pt;margin-top:504.65pt;z-index:-167769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392.8pt;margin-top:491.15pt;z-index:-16776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247.2pt;margin-top:504.65pt;z-index:-167769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320pt;margin-top:491.15pt;z-index:-16776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4.5pt;margin-top:504.65pt;z-index:-16776944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14.5pt;margin-top:491.15pt;z-index:-16776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247.2pt;margin-top:491.15pt;z-index:-167769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32.45pt;margin-top:477.65pt;z-index:-167769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32.45pt;margin-top:491.15pt;z-index:-167769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95.5pt;margin-top:477.65pt;z-index:-16776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468.65pt;margin-top:477.65pt;z-index:-167769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468.65pt;margin-top:491.15pt;z-index:-167769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532.45pt;margin-top:477.65pt;z-index:-16776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392.8pt;margin-top:477.65pt;z-index:-1677690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392.8pt;margin-top:491.15pt;z-index:-1677690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468.65pt;margin-top:477.65pt;z-index:-16776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320pt;margin-top:477.65pt;z-index:-16776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320pt;margin-top:491.15pt;z-index:-167768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392.8pt;margin-top:477.65pt;z-index:-16776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247.2pt;margin-top:477.65pt;z-index:-167768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47.2pt;margin-top:491.15pt;z-index:-167768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320pt;margin-top:477.65pt;z-index:-16776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14.5pt;margin-top:491.15pt;z-index:-1677687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14.5pt;margin-top:477.65pt;z-index:-16776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247.2pt;margin-top:477.65pt;z-index:-16776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4.5pt;margin-top:462.65pt;z-index:-1677686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14.5pt;margin-top:477.65pt;z-index:-1677685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14.5pt;margin-top:462.65pt;z-index:-167768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95.5pt;margin-top:462.65pt;z-index:-167768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32.45pt;margin-top:462.65pt;z-index:-167768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95.5pt;margin-top:449.15pt;z-index:-16776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468.65pt;margin-top:462.65pt;z-index:-167768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32.45pt;margin-top:449.15pt;z-index:-16776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392.8pt;margin-top:462.65pt;z-index:-167768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468.65pt;margin-top:449.15pt;z-index:-16776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320pt;margin-top:462.65pt;z-index:-167768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392.8pt;margin-top:449.15pt;z-index:-16776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247.2pt;margin-top:462.65pt;z-index:-16776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320pt;margin-top:449.15pt;z-index:-16776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14.5pt;margin-top:462.65pt;z-index:-16776804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14.5pt;margin-top:449.15pt;z-index:-16776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247.2pt;margin-top:449.15pt;z-index:-16776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32.45pt;margin-top:449.15pt;z-index:-167767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95.5pt;margin-top:435.6pt;z-index:-16776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68.65pt;margin-top:449.15pt;z-index:-167767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32.45pt;margin-top:435.6pt;z-index:-16776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392.8pt;margin-top:435.6pt;z-index:-167767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392.8pt;margin-top:449.15pt;z-index:-1677677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468.65pt;margin-top:435.6pt;z-index:-16776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320pt;margin-top:435.6pt;z-index:-167767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320pt;margin-top:449.15pt;z-index:-167767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392.8pt;margin-top:435.6pt;z-index:-16776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247.2pt;margin-top:435.6pt;z-index:-16776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247.2pt;margin-top:449.15pt;z-index:-16776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320pt;margin-top:435.6pt;z-index:-16776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14.5pt;margin-top:449.15pt;z-index:-16776740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14.5pt;margin-top:435.6pt;z-index:-16776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247.2pt;margin-top:435.6pt;z-index:-16776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32.45pt;margin-top:435.6pt;z-index:-167767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95.5pt;margin-top:422.1pt;z-index:-16776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68.65pt;margin-top:435.6pt;z-index:-167767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32.45pt;margin-top:422.1pt;z-index:-16776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55.15pt;margin-top:422.1pt;z-index:-16776712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55.15pt;margin-top:435.6pt;z-index:-16776708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68.65pt;margin-top:422.1pt;z-index:-16776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92.8pt;margin-top:435.6pt;z-index:-167767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82.3pt;margin-top:422.1pt;z-index:-167766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382.3pt;margin-top:435.6pt;z-index:-167766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392.8pt;margin-top:422.1pt;z-index:-16776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320pt;margin-top:435.6pt;z-index:-167766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309.5pt;margin-top:422.1pt;z-index:-167766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309.5pt;margin-top:435.6pt;z-index:-167766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320pt;margin-top:422.1pt;z-index:-16776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247.2pt;margin-top:435.6pt;z-index:-167766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14.5pt;margin-top:435.6pt;z-index:-16776664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14.5pt;margin-top:422.1pt;z-index:-167766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247.2pt;margin-top:422.1pt;z-index:-16776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32.45pt;margin-top:408.6pt;z-index:-167766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32.45pt;margin-top:422.1pt;z-index:-167766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95.5pt;margin-top:408.6pt;z-index:-167766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468.65pt;margin-top:408.6pt;z-index:-167766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468.65pt;margin-top:422.1pt;z-index:-167766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32.45pt;margin-top:408.6pt;z-index:-16776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392.8pt;margin-top:408.6pt;z-index:-167766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392.8pt;margin-top:422.1pt;z-index:-1677662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468.65pt;margin-top:408.6pt;z-index:-167766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320pt;margin-top:408.6pt;z-index:-167766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320pt;margin-top:422.1pt;z-index:-16776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392.8pt;margin-top:408.6pt;z-index:-167766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247.2pt;margin-top:408.6pt;z-index:-16776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247.2pt;margin-top:422.1pt;z-index:-167766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320pt;margin-top:408.6pt;z-index:-167765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14.5pt;margin-top:422.1pt;z-index:-1677659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14.5pt;margin-top:408.6pt;z-index:-167765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247.2pt;margin-top:408.6pt;z-index:-167765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14.5pt;margin-top:393.6pt;z-index:-1677658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14.5pt;margin-top:408.6pt;z-index:-1677657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14.5pt;margin-top:393.6pt;z-index:-167765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95.5pt;margin-top:393.6pt;z-index:-167765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32.45pt;margin-top:393.6pt;z-index:-167765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95.5pt;margin-top:380.05pt;z-index:-167765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468.65pt;margin-top:393.6pt;z-index:-167765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532.45pt;margin-top:380.05pt;z-index:-167765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392.8pt;margin-top:380.05pt;z-index:-1677654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92.8pt;margin-top:393.6pt;z-index:-1677654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468.65pt;margin-top:380.05pt;z-index:-167765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320pt;margin-top:380.05pt;z-index:-167765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320pt;margin-top:393.6pt;z-index:-167765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392.8pt;margin-top:380.05pt;z-index:-16776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247.2pt;margin-top:380.05pt;z-index:-167765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47.2pt;margin-top:393.6pt;z-index:-167765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320pt;margin-top:380.05pt;z-index:-167765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14.5pt;margin-top:393.6pt;z-index:-1677651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14.5pt;margin-top:380.05pt;z-index:-167765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247.2pt;margin-top:380.05pt;z-index:-16776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32.45pt;margin-top:380.05pt;z-index:-167765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595.5pt;margin-top:366.55pt;z-index:-167764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468.65pt;margin-top:380.05pt;z-index:-167764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32.45pt;margin-top:366.55pt;z-index:-16776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455.15pt;margin-top:366.55pt;z-index:-16776484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455.15pt;margin-top:380.05pt;z-index:-16776480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468.65pt;margin-top:366.55pt;z-index:-167764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392.8pt;margin-top:380.05pt;z-index:-167764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382.3pt;margin-top:366.55pt;z-index:-167764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382.3pt;margin-top:380.05pt;z-index:-167764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392.8pt;margin-top:366.55pt;z-index:-16776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320pt;margin-top:380.05pt;z-index:-167764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309.5pt;margin-top:366.55pt;z-index:-167764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09.5pt;margin-top:380.05pt;z-index:-167764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320pt;margin-top:366.55pt;z-index:-16776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247.2pt;margin-top:380.05pt;z-index:-167764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14.5pt;margin-top:380.05pt;z-index:-16776436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14.5pt;margin-top:366.55pt;z-index:-16776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247.2pt;margin-top:366.55pt;z-index:-16776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32.45pt;margin-top:366.55pt;z-index:-167764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95.5pt;margin-top:353.05pt;z-index:-16776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468.65pt;margin-top:366.55pt;z-index:-167764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532.45pt;margin-top:353.05pt;z-index:-16776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392.8pt;margin-top:366.55pt;z-index:-1677640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468.65pt;margin-top:353.05pt;z-index:-16776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320pt;margin-top:366.55pt;z-index:-167764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392.8pt;margin-top:353.05pt;z-index:-16776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247.2pt;margin-top:366.55pt;z-index:-167763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320pt;margin-top:353.05pt;z-index:-167763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14.5pt;margin-top:366.55pt;z-index:-16776384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14.5pt;margin-top:353.05pt;z-index:-167763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247.2pt;margin-top:353.05pt;z-index:-16776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32.45pt;margin-top:353.05pt;z-index:-167763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95.5pt;margin-top:339.55pt;z-index:-167763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468.65pt;margin-top:353.05pt;z-index:-167763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532.45pt;margin-top:339.55pt;z-index:-16776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392.8pt;margin-top:353.05pt;z-index:-1677635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68.65pt;margin-top:339.55pt;z-index:-16776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320pt;margin-top:353.05pt;z-index:-16776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392.8pt;margin-top:339.55pt;z-index:-167763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247.2pt;margin-top:353.05pt;z-index:-167763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320pt;margin-top:339.55pt;z-index:-167763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14.5pt;margin-top:353.05pt;z-index:-1677633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14.5pt;margin-top:339.55pt;z-index:-167763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247.2pt;margin-top:339.55pt;z-index:-167763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32.45pt;margin-top:320pt;z-index:-167763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32.45pt;margin-top:339.55pt;z-index:-167763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95.5pt;margin-top:320pt;z-index:-1677631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468.65pt;margin-top:339.55pt;z-index:-167763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532.45pt;margin-top:320pt;z-index:-167763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392.8pt;margin-top:320pt;z-index:-1677630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392.8pt;margin-top:339.55pt;z-index:-1677629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468.65pt;margin-top:320pt;z-index:-167762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320pt;margin-top:320pt;z-index:-167762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320pt;margin-top:339.55pt;z-index:-167762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392.8pt;margin-top:320pt;z-index:-167762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247.2pt;margin-top:339.55pt;z-index:-167762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320pt;margin-top:320pt;z-index:-167762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14.5pt;margin-top:339.55pt;z-index:-16776268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14.5pt;margin-top:320pt;z-index:-167762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247.2pt;margin-top:320pt;z-index:-167762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468.65pt;margin-top:306.5pt;z-index:-16776256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68.65pt;margin-top:320pt;z-index:-16776252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595.5pt;margin-top:306.5pt;z-index:-16776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247.2pt;margin-top:306.5pt;z-index:-16776244;width:22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247.2pt;margin-top:320pt;z-index:-16776240;width:22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468.65pt;margin-top:306.5pt;z-index:-16776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14.5pt;margin-top:306.5pt;z-index:-16776232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14.5pt;margin-top:320pt;z-index:-16776228;width:23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14.5pt;margin-top:306.5pt;z-index:-16776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247.2pt;margin-top:306.5pt;z-index:-16776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94pt;margin-top:306.5pt;z-index:-1677621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37.7pt;margin-top:306.5pt;z-index:-167762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32.45pt;margin-top:306.5pt;z-index:-16776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530.95pt;margin-top:306.5pt;z-index:-16776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73.9pt;margin-top:306.5pt;z-index:-167762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468.65pt;margin-top:306.5pt;z-index:-16776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455.15pt;margin-top:306.5pt;z-index:-16776192;width:1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398.1pt;margin-top:306.5pt;z-index:-167761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392.8pt;margin-top:306.5pt;z-index:-167761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382.3pt;margin-top:306.5pt;z-index:-1677618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325.25pt;margin-top:306.5pt;z-index:-167761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320pt;margin-top:306.5pt;z-index:-167761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309.5pt;margin-top:306.5pt;z-index:-1677616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252.45pt;margin-top:306.5pt;z-index:-167761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247.2pt;margin-top:306.5pt;z-index:-16776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245.7pt;margin-top:306.5pt;z-index:-1677615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9pt;margin-top:306.5pt;z-index:-16776152;width:2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14.5pt;margin-top:306.5pt;z-index:-167761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</w:p>
    <w:p>
      <w:pPr>
        <w:pStyle w:val="Normal"/>
        <w:framePr w:w="1778" w:hAnchor="page" w:vAnchor="page" w:x="5459" w:y="141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1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24</w:t>
      </w:r>
    </w:p>
    <w:p>
      <w:pPr>
        <w:pStyle w:val="Normal"/>
        <w:framePr w:w="12150" w:hAnchor="page" w:vAnchor="page" w:x="280" w:y="119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subsea playbook, will allow us to capitalize on the expanding opportunities that extend beyond the decade.”</w:t>
      </w:r>
    </w:p>
    <w:p>
      <w:pPr>
        <w:pStyle w:val="Normal"/>
        <w:framePr w:w="13088" w:hAnchor="page" w:vAnchor="page" w:x="280" w:y="116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“We are confident that our strong execution and competitive differentiation, when combined with the proven success of</w:t>
      </w:r>
    </w:p>
    <w:p>
      <w:pPr>
        <w:pStyle w:val="Normal"/>
        <w:framePr w:w="4910" w:hAnchor="page" w:vAnchor="page" w:x="280" w:y="112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achieved through a market recovery alone.”</w:t>
      </w:r>
    </w:p>
    <w:p>
      <w:pPr>
        <w:pStyle w:val="Normal"/>
        <w:framePr w:w="13079" w:hAnchor="page" w:vAnchor="page" w:x="280" w:y="109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actions  continue  to  provide  sustainable  differentiation  for  TechnipFMC,  driving  results  higher  than  what  could  be</w:t>
      </w:r>
    </w:p>
    <w:p>
      <w:pPr>
        <w:pStyle w:val="Normal"/>
        <w:framePr w:w="13090" w:hAnchor="page" w:vAnchor="page" w:x="280" w:y="107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reshaped  the  subsea  industry  and  to  deliver  innovative  technologies  that  further  improve  project  economics.  These</w:t>
      </w:r>
    </w:p>
    <w:p>
      <w:pPr>
        <w:pStyle w:val="Normal"/>
        <w:framePr w:w="13076" w:hAnchor="page" w:vAnchor="page" w:x="280" w:y="104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experiencing  in  our  execution.  Our  success  reflects  the  bold  steps  we  took  to  create  a  new  business  model  that</w:t>
      </w:r>
    </w:p>
    <w:p>
      <w:pPr>
        <w:pStyle w:val="Normal"/>
        <w:framePr w:w="13087" w:hAnchor="page" w:vAnchor="page" w:x="280" w:y="101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“The strong financial performance in the period clearly demonstrates the solid momentum we are</w:t>
      </w:r>
    </w:p>
    <w:p>
      <w:pPr>
        <w:pStyle w:val="Normal"/>
        <w:framePr w:w="6304" w:hAnchor="page" w:vAnchor="page" w:x="280" w:y="97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allowing us to further utilize our new in-country capacity.”</w:t>
      </w:r>
    </w:p>
    <w:p>
      <w:pPr>
        <w:pStyle w:val="Normal"/>
        <w:framePr w:w="13080" w:hAnchor="page" w:vAnchor="page" w:x="280" w:y="95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actions taken to optimize our business in the Americas. In the Middle East, the growth we anticipated is now occurring,</w:t>
      </w:r>
    </w:p>
    <w:p>
      <w:pPr>
        <w:pStyle w:val="Normal"/>
        <w:framePr w:w="13078" w:hAnchor="page" w:vAnchor="page" w:x="280" w:y="9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“In Surface Technologies, we also demonstrated solid performance. We are seeing tangible benefits from the targeted</w:t>
      </w:r>
    </w:p>
    <w:p>
      <w:pPr>
        <w:pStyle w:val="Normal"/>
        <w:framePr w:w="4842" w:hAnchor="page" w:vAnchor="page" w:x="280" w:y="88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activity will drive further growth in backlog.”</w:t>
      </w:r>
    </w:p>
    <w:p>
      <w:pPr>
        <w:pStyle w:val="Normal"/>
        <w:framePr w:w="13082" w:hAnchor="page" w:vAnchor="page" w:x="280" w:y="85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giving us continued confidence in achieving $30 billion in orders over the three-year period ending 2025. We expect this</w:t>
      </w:r>
    </w:p>
    <w:p>
      <w:pPr>
        <w:pStyle w:val="Normal"/>
        <w:framePr w:w="13081" w:hAnchor="page" w:vAnchor="page" w:x="280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revenue in 10 of the last 11 quarters. We are well positioned for Subsea orders to approach $10 billion for the year, also</w:t>
      </w:r>
    </w:p>
    <w:p>
      <w:pPr>
        <w:pStyle w:val="Normal"/>
        <w:framePr w:w="13086" w:hAnchor="page" w:vAnchor="page" w:x="280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“At  quarter  end,  total  Company  backlog  was  $13.9  billion,  a  record  level  for  TechnipFMC,  with  orders  exceeding</w:t>
      </w:r>
    </w:p>
    <w:p>
      <w:pPr>
        <w:pStyle w:val="Normal"/>
        <w:framePr w:w="1749" w:hAnchor="page" w:vAnchor="page" w:x="280" w:y="76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Namibia.”</w:t>
      </w:r>
    </w:p>
    <w:p>
      <w:pPr>
        <w:pStyle w:val="Normal"/>
        <w:framePr w:w="13079" w:hAnchor="page" w:vAnchor="page" w:x="280" w:y="73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 the development of our business in Guyana. This formula will also be utilized in new frontiers, including Suriname</w:t>
      </w:r>
    </w:p>
    <w:p>
      <w:pPr>
        <w:pStyle w:val="Normal"/>
        <w:framePr w:w="13078" w:hAnchor="page" w:vAnchor="page" w:x="280" w:y="70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its people, collaboration with our global and local partners, and innovative mindset that have created a winning playbook</w:t>
      </w:r>
    </w:p>
    <w:p>
      <w:pPr>
        <w:pStyle w:val="Normal"/>
        <w:framePr w:w="13080" w:hAnchor="page" w:vAnchor="page" w:x="280" w:y="68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accelerated schedule requirements of an emerging basin. Importantly, it is our strategic commitment to the region and</w:t>
      </w:r>
    </w:p>
    <w:p>
      <w:pPr>
        <w:pStyle w:val="Normal"/>
        <w:framePr w:w="13077" w:hAnchor="page" w:vAnchor="page" w:x="280" w:y="6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 added,  “Through   our  success  in   Guyana,  we  have   established  a  strong  reputation   for  meeting  the</w:t>
      </w:r>
    </w:p>
    <w:p>
      <w:pPr>
        <w:pStyle w:val="Normal"/>
        <w:framePr w:w="7224" w:hAnchor="page" w:vAnchor="page" w:x="280" w:y="61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awarded the subsea production systems for all of these projects.”</w:t>
      </w:r>
    </w:p>
    <w:p>
      <w:pPr>
        <w:pStyle w:val="Normal"/>
        <w:framePr w:w="13079" w:hAnchor="page" w:vAnchor="page" w:x="280" w:y="58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sixth  project  sanctioned  by  ExxonMobil  in  the  Stabroek  Block  in  just  seven  years.  We  are  honored  to  have  been</w:t>
      </w:r>
    </w:p>
    <w:p>
      <w:pPr>
        <w:pStyle w:val="Normal"/>
        <w:framePr w:w="13078" w:hAnchor="page" w:vAnchor="page" w:x="280" w:y="55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“Further expansion in Guyana also contributed significantly to inbound with the award of the Whiptail project. This is the</w:t>
      </w:r>
    </w:p>
    <w:p>
      <w:pPr>
        <w:pStyle w:val="Normal"/>
        <w:framePr w:w="3659" w:hAnchor="page" w:vAnchor="page" w:x="280" w:y="51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existing frame agreements.”</w:t>
      </w:r>
    </w:p>
    <w:p>
      <w:pPr>
        <w:pStyle w:val="Normal"/>
        <w:framePr w:w="13079" w:hAnchor="page" w:vAnchor="page" w:x="280" w:y="49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also awarded over 100 kilometers of flexible pipe from Petrobras, which is incremental to the volume associated with</w:t>
      </w:r>
    </w:p>
    <w:p>
      <w:pPr>
        <w:pStyle w:val="Normal"/>
        <w:framePr w:w="1798" w:hAnchor="page" w:vAnchor="page" w:x="280" w:y="46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Woodside’</w:t>
      </w:r>
    </w:p>
    <w:p>
      <w:pPr>
        <w:pStyle w:val="Normal"/>
        <w:framePr w:w="4116" w:hAnchor="page" w:vAnchor="page" w:x="1299" w:y="46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 Xena Phase 3 and Energean’</w:t>
      </w:r>
    </w:p>
    <w:p>
      <w:pPr>
        <w:pStyle w:val="Normal"/>
        <w:framePr w:w="8528" w:hAnchor="page" w:vAnchor="page" w:x="4426" w:y="46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 Katlan development, both repeat clients of our integrated model. We were</w:t>
      </w:r>
    </w:p>
    <w:p>
      <w:pPr>
        <w:pStyle w:val="Normal"/>
        <w:framePr w:w="13082" w:hAnchor="page" w:vAnchor="page" w:x="280" w:y="43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longstanding relationships were key drivers of our success in the quarter. Inbound included iEPCI™ projects for</w:t>
      </w:r>
    </w:p>
    <w:p>
      <w:pPr>
        <w:pStyle w:val="Normal"/>
        <w:framePr w:w="13081" w:hAnchor="page" w:vAnchor="page" w:x="280" w:y="41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“Subsea inbound orders were $2.8 billion, representing a book-to-bill of 1.4. Partner collaboration</w:t>
      </w:r>
    </w:p>
    <w:p>
      <w:pPr>
        <w:pStyle w:val="Normal"/>
        <w:framePr w:w="7050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margin to exceed the high-end of our guidance for the full year.”</w:t>
      </w:r>
    </w:p>
    <w:p>
      <w:pPr>
        <w:pStyle w:val="Normal"/>
        <w:framePr w:w="13083" w:hAnchor="page" w:vAnchor="page" w:x="280" w:y="34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 expect to continue in the third quarter. Given the strength of our execution, we now expect Subsea adjusted EBITDA</w:t>
      </w:r>
    </w:p>
    <w:p>
      <w:pPr>
        <w:pStyle w:val="Normal"/>
        <w:framePr w:w="13081" w:hAnchor="page" w:vAnchor="page" w:x="280" w:y="31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13.8 percent. Adjusted EBITDA margin improved 370 basis points sequentially to 17.7 percent – a level of performance</w:t>
      </w:r>
    </w:p>
    <w:p>
      <w:pPr>
        <w:pStyle w:val="Normal"/>
        <w:framePr w:w="13081" w:hAnchor="page" w:vAnchor="page" w:x="280" w:y="29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“Results were particularly strong in Subsea, where operating profit margin improved 480 basis points sequentially to</w:t>
      </w:r>
    </w:p>
    <w:p>
      <w:pPr>
        <w:pStyle w:val="Normal"/>
        <w:framePr w:w="2341" w:hAnchor="page" w:vAnchor="page" w:x="280" w:y="24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exchange impacts.”</w:t>
      </w:r>
    </w:p>
    <w:p>
      <w:pPr>
        <w:pStyle w:val="Normal"/>
        <w:framePr w:w="13082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throughout  the  Company.  Revenue  was  $2.3  billion  with  adjusted  EBITDA  of  $379  million  when  excluding  foreign</w:t>
      </w:r>
    </w:p>
    <w:p>
      <w:pPr>
        <w:pStyle w:val="Normal"/>
        <w:framePr w:w="13080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Pferdehirt, Chair and CEO of TechnipFMC, stated, “Our quarterly results reflect strong operational performance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7pt;margin-top:1pt;z-index:-16776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3pt;margin-top:728.35pt;z-index:-16776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13pt;margin-top:729.1pt;z-index:-16776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96.25pt;margin-top:728.35pt;z-index:-16776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3pt;margin-top:728.35pt;z-index:-16776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4pt;margin-top:2pt;z-index:-1677612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</w:p>
    <w:p>
      <w:pPr>
        <w:pStyle w:val="Normal"/>
        <w:framePr w:w="1778" w:hAnchor="page" w:vAnchor="page" w:x="5459" w:y="14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24</w:t>
      </w:r>
    </w:p>
    <w:p>
      <w:pPr>
        <w:pStyle w:val="Normal"/>
        <w:framePr w:w="4857" w:hAnchor="page" w:vAnchor="page" w:x="280" w:y="122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increased 370 basis points to 17.7 percent.</w:t>
      </w:r>
    </w:p>
    <w:p>
      <w:pPr>
        <w:pStyle w:val="Normal"/>
        <w:framePr w:w="13081" w:hAnchor="page" w:vAnchor="page" w:x="280" w:y="120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factors impacting operating profit also drove the sequential increase in adjusted EBITDA. Adjusted EBITDA margin</w:t>
      </w:r>
    </w:p>
    <w:p>
      <w:pPr>
        <w:pStyle w:val="Normal"/>
        <w:framePr w:w="13089" w:hAnchor="page" w:vAnchor="page" w:x="280" w:y="1174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$356.5 million, an increase of 47.1 percent when compared to the first quarter.</w:t>
      </w:r>
    </w:p>
    <w:p>
      <w:pPr>
        <w:pStyle w:val="Normal"/>
        <w:framePr w:w="9211" w:hAnchor="page" w:vAnchor="page" w:x="280" w:y="112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services activity. Operating profit margin increased 480 basis points to 13.8 percent.</w:t>
      </w:r>
    </w:p>
    <w:p>
      <w:pPr>
        <w:pStyle w:val="Normal"/>
        <w:framePr w:w="13077" w:hAnchor="page" w:vAnchor="page" w:x="280" w:y="110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 increased sequentially due to strong execution, improved earnings mix from backlog, and higher project and</w:t>
      </w:r>
    </w:p>
    <w:p>
      <w:pPr>
        <w:pStyle w:val="Normal"/>
        <w:framePr w:w="13088" w:hAnchor="page" w:vAnchor="page" w:x="280" w:y="107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 reported  an  operating  profit  of  $277.7  million,  an  increase  of  77.3  percent  from  the  first  quarter.  Operating</w:t>
      </w:r>
    </w:p>
    <w:p>
      <w:pPr>
        <w:pStyle w:val="Normal"/>
        <w:framePr w:w="8932" w:hAnchor="page" w:vAnchor="page" w:x="280" w:y="102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Mexico. Services revenue also increased primarily due to seasonal improvement.</w:t>
      </w:r>
    </w:p>
    <w:p>
      <w:pPr>
        <w:pStyle w:val="Normal"/>
        <w:framePr w:w="13074" w:hAnchor="page" w:vAnchor="page" w:x="280" w:y="100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 revenue improvement was largely driven by increased iEPCI™ project activity in the North Sea and Gulf of</w:t>
      </w:r>
    </w:p>
    <w:p>
      <w:pPr>
        <w:pStyle w:val="Normal"/>
        <w:framePr w:w="13084" w:hAnchor="page" w:vAnchor="page" w:x="280" w:y="97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second quarter revenue of $2,009.1 million, an increase of 15.8 percent from the first quarter. The</w:t>
      </w:r>
    </w:p>
    <w:p>
      <w:pPr>
        <w:pStyle w:val="Normal"/>
        <w:framePr w:w="222" w:hAnchor="page" w:vAnchor="page" w:x="300" w:y="9032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059" w:hAnchor="page" w:vAnchor="page" w:x="415" w:y="903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June 30, 2024 does not include total Company non-consolidated backlog of $201 million.</w:t>
      </w:r>
    </w:p>
    <w:p>
      <w:pPr>
        <w:pStyle w:val="Normal"/>
        <w:framePr w:w="222" w:hAnchor="page" w:vAnchor="page" w:x="300" w:y="8746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74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46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8917" w:hAnchor="page" w:vAnchor="page" w:x="365" w:y="84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June 30, 2024 was decreased by a foreign exchange impact of $358 million.</w:t>
      </w:r>
    </w:p>
    <w:p>
      <w:pPr>
        <w:pStyle w:val="Normal"/>
        <w:framePr w:w="1108" w:hAnchor="page" w:vAnchor="page" w:x="11172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$12,926</w:t>
      </w:r>
    </w:p>
    <w:p>
      <w:pPr>
        <w:pStyle w:val="Normal"/>
        <w:framePr w:w="802" w:hAnchor="page" w:vAnchor="page" w:x="315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Total</w:t>
      </w:r>
    </w:p>
    <w:p>
      <w:pPr>
        <w:pStyle w:val="Normal"/>
        <w:framePr w:w="974" w:hAnchor="page" w:vAnchor="page" w:x="11283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$5,380</w:t>
      </w:r>
    </w:p>
    <w:p>
      <w:pPr>
        <w:pStyle w:val="Normal"/>
        <w:framePr w:w="2206" w:hAnchor="page" w:vAnchor="page" w:x="315" w:y="78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2026 and beyond</w:t>
      </w:r>
    </w:p>
    <w:p>
      <w:pPr>
        <w:pStyle w:val="Normal"/>
        <w:framePr w:w="974" w:hAnchor="page" w:vAnchor="page" w:x="11283" w:y="7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$4,460</w:t>
      </w:r>
    </w:p>
    <w:p>
      <w:pPr>
        <w:pStyle w:val="Normal"/>
        <w:framePr w:w="780" w:hAnchor="page" w:vAnchor="page" w:x="315" w:y="75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</w:t>
      </w:r>
    </w:p>
    <w:p>
      <w:pPr>
        <w:pStyle w:val="Normal"/>
        <w:framePr w:w="974" w:hAnchor="page" w:vAnchor="page" w:x="11283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$3,086</w:t>
      </w:r>
    </w:p>
    <w:p>
      <w:pPr>
        <w:pStyle w:val="Normal"/>
        <w:framePr w:w="2085" w:hAnchor="page" w:vAnchor="page" w:x="315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 (6 months)</w:t>
      </w:r>
    </w:p>
    <w:p>
      <w:pPr>
        <w:pStyle w:val="Normal"/>
        <w:framePr w:w="1269" w:hAnchor="page" w:vAnchor="page" w:x="31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108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4267" w:hAnchor="page" w:vAnchor="page" w:x="31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60" w:hAnchor="page" w:vAnchor="page" w:x="10942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Jun. 30, </w:t>
      </w:r>
    </w:p>
    <w:p>
      <w:pPr>
        <w:pStyle w:val="Normal"/>
        <w:framePr w:w="1174" w:hAnchor="page" w:vAnchor="page" w:x="34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503" w:hAnchor="page" w:vAnchor="page" w:x="1123" w:y="597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308" w:hAnchor="page" w:vAnchor="page" w:x="555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$12,925.9</w:t>
      </w:r>
    </w:p>
    <w:p>
      <w:pPr>
        <w:pStyle w:val="Normal"/>
        <w:framePr w:w="1308" w:hAnchor="page" w:vAnchor="page" w:x="7012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$12,455.5</w:t>
      </w:r>
    </w:p>
    <w:p>
      <w:pPr>
        <w:pStyle w:val="Normal"/>
        <w:framePr w:w="1308" w:hAnchor="page" w:vAnchor="page" w:x="8468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$12,088.5</w:t>
      </w:r>
    </w:p>
    <w:p>
      <w:pPr>
        <w:pStyle w:val="Normal"/>
        <w:framePr w:w="787" w:hAnchor="page" w:vAnchor="page" w:x="979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3.8%</w:t>
      </w:r>
    </w:p>
    <w:p>
      <w:pPr>
        <w:pStyle w:val="Normal"/>
        <w:framePr w:w="787" w:hAnchor="page" w:vAnchor="page" w:x="11071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6.9%</w:t>
      </w:r>
    </w:p>
    <w:p>
      <w:pPr>
        <w:pStyle w:val="Normal"/>
        <w:framePr w:w="2001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67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$2,838.0</w:t>
      </w:r>
    </w:p>
    <w:p>
      <w:pPr>
        <w:pStyle w:val="Normal"/>
        <w:framePr w:w="1175" w:hAnchor="page" w:vAnchor="page" w:x="712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$2,403.8</w:t>
      </w:r>
    </w:p>
    <w:p>
      <w:pPr>
        <w:pStyle w:val="Normal"/>
        <w:framePr w:w="1157" w:hAnchor="page" w:vAnchor="page" w:x="8594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$4,114.5</w:t>
      </w:r>
    </w:p>
    <w:p>
      <w:pPr>
        <w:pStyle w:val="Normal"/>
        <w:framePr w:w="921" w:hAnchor="page" w:vAnchor="page" w:x="974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18.1%</w:t>
      </w:r>
    </w:p>
    <w:p>
      <w:pPr>
        <w:pStyle w:val="Normal"/>
        <w:framePr w:w="1081" w:hAnchor="page" w:vAnchor="page" w:x="1094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(31.0%)</w:t>
      </w:r>
    </w:p>
    <w:p>
      <w:pPr>
        <w:pStyle w:val="Normal"/>
        <w:framePr w:w="3095" w:hAnchor="page" w:vAnchor="page" w:x="345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17.7 %</w:t>
      </w:r>
    </w:p>
    <w:p>
      <w:pPr>
        <w:pStyle w:val="Normal"/>
        <w:framePr w:w="988" w:hAnchor="page" w:vAnchor="page" w:x="7266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14.0 %</w:t>
      </w:r>
    </w:p>
    <w:p>
      <w:pPr>
        <w:pStyle w:val="Normal"/>
        <w:framePr w:w="988" w:hAnchor="page" w:vAnchor="page" w:x="8723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14.4 %</w:t>
      </w:r>
    </w:p>
    <w:p>
      <w:pPr>
        <w:pStyle w:val="Normal"/>
        <w:framePr w:w="1094" w:hAnchor="page" w:vAnchor="page" w:x="9667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370 bps</w:t>
      </w:r>
    </w:p>
    <w:p>
      <w:pPr>
        <w:pStyle w:val="Normal"/>
        <w:framePr w:w="1094" w:hAnchor="page" w:vAnchor="page" w:x="10943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330 bps</w:t>
      </w:r>
    </w:p>
    <w:p>
      <w:pPr>
        <w:pStyle w:val="Normal"/>
        <w:framePr w:w="2228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$356.5</w:t>
      </w:r>
    </w:p>
    <w:p>
      <w:pPr>
        <w:pStyle w:val="Normal"/>
        <w:framePr w:w="974" w:hAnchor="page" w:vAnchor="page" w:x="729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$242.4</w:t>
      </w:r>
    </w:p>
    <w:p>
      <w:pPr>
        <w:pStyle w:val="Normal"/>
        <w:framePr w:w="974" w:hAnchor="page" w:vAnchor="page" w:x="874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$233.8</w:t>
      </w:r>
    </w:p>
    <w:p>
      <w:pPr>
        <w:pStyle w:val="Normal"/>
        <w:framePr w:w="921" w:hAnchor="page" w:vAnchor="page" w:x="974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47.1%</w:t>
      </w:r>
    </w:p>
    <w:p>
      <w:pPr>
        <w:pStyle w:val="Normal"/>
        <w:framePr w:w="921" w:hAnchor="page" w:vAnchor="page" w:x="1101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52.5%</w:t>
      </w:r>
    </w:p>
    <w:p>
      <w:pPr>
        <w:pStyle w:val="Normal"/>
        <w:framePr w:w="2921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988" w:hAnchor="page" w:vAnchor="page" w:x="581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13.8 %</w:t>
      </w:r>
    </w:p>
    <w:p>
      <w:pPr>
        <w:pStyle w:val="Normal"/>
        <w:framePr w:w="854" w:hAnchor="page" w:vAnchor="page" w:x="7378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9.0 %</w:t>
      </w:r>
    </w:p>
    <w:p>
      <w:pPr>
        <w:pStyle w:val="Normal"/>
        <w:framePr w:w="854" w:hAnchor="page" w:vAnchor="page" w:x="8834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9.5 %</w:t>
      </w:r>
    </w:p>
    <w:p>
      <w:pPr>
        <w:pStyle w:val="Normal"/>
        <w:framePr w:w="1094" w:hAnchor="page" w:vAnchor="page" w:x="9667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480 bps</w:t>
      </w:r>
    </w:p>
    <w:p>
      <w:pPr>
        <w:pStyle w:val="Normal"/>
        <w:framePr w:w="1094" w:hAnchor="page" w:vAnchor="page" w:x="1094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430 bps</w:t>
      </w:r>
    </w:p>
    <w:p>
      <w:pPr>
        <w:pStyle w:val="Normal"/>
        <w:framePr w:w="2054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974" w:hAnchor="page" w:vAnchor="page" w:x="5834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$277.7</w:t>
      </w:r>
    </w:p>
    <w:p>
      <w:pPr>
        <w:pStyle w:val="Normal"/>
        <w:framePr w:w="974" w:hAnchor="page" w:vAnchor="page" w:x="729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$156.6</w:t>
      </w:r>
    </w:p>
    <w:p>
      <w:pPr>
        <w:pStyle w:val="Normal"/>
        <w:framePr w:w="974" w:hAnchor="page" w:vAnchor="page" w:x="874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$153.4</w:t>
      </w:r>
    </w:p>
    <w:p>
      <w:pPr>
        <w:pStyle w:val="Normal"/>
        <w:framePr w:w="921" w:hAnchor="page" w:vAnchor="page" w:x="974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77.3%</w:t>
      </w:r>
    </w:p>
    <w:p>
      <w:pPr>
        <w:pStyle w:val="Normal"/>
        <w:framePr w:w="921" w:hAnchor="page" w:vAnchor="page" w:x="1101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81.0%</w:t>
      </w:r>
    </w:p>
    <w:p>
      <w:pPr>
        <w:pStyle w:val="Normal"/>
        <w:framePr w:w="1241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$2,009.1</w:t>
      </w:r>
    </w:p>
    <w:p>
      <w:pPr>
        <w:pStyle w:val="Normal"/>
        <w:framePr w:w="1175" w:hAnchor="page" w:vAnchor="page" w:x="712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$1,734.8</w:t>
      </w:r>
    </w:p>
    <w:p>
      <w:pPr>
        <w:pStyle w:val="Normal"/>
        <w:framePr w:w="1175" w:hAnchor="page" w:vAnchor="page" w:x="8579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$1,618.4</w:t>
      </w:r>
    </w:p>
    <w:p>
      <w:pPr>
        <w:pStyle w:val="Normal"/>
        <w:framePr w:w="921" w:hAnchor="page" w:vAnchor="page" w:x="974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15.8%</w:t>
      </w:r>
    </w:p>
    <w:p>
      <w:pPr>
        <w:pStyle w:val="Normal"/>
        <w:framePr w:w="921" w:hAnchor="page" w:vAnchor="page" w:x="11016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24.1%</w:t>
      </w:r>
    </w:p>
    <w:p>
      <w:pPr>
        <w:pStyle w:val="Normal"/>
        <w:framePr w:w="619" w:hAnchor="page" w:vAnchor="page" w:x="5567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023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479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63" w:hAnchor="page" w:vAnchor="page" w:x="961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07" w:hAnchor="page" w:vAnchor="page" w:x="544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0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5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41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30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7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7pt;margin-top:1pt;z-index:-167761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3pt;margin-top:761.4pt;z-index:-167761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13pt;margin-top:762.15pt;z-index:-167761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96.25pt;margin-top:761.4pt;z-index:-167761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13pt;margin-top:761.4pt;z-index:-167761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14pt;margin-top:2pt;z-index:-1677610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13pt;margin-top:115.85pt;z-index:-16776096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531.7pt;margin-top:309.5pt;z-index:-167760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595.5pt;margin-top:296pt;z-index:-16776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467.9pt;margin-top:309.5pt;z-index:-167760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31.7pt;margin-top:296pt;z-index:-16776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395.1pt;margin-top:309.5pt;z-index:-167760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467.9pt;margin-top:296pt;z-index:-16776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322.25pt;margin-top:309.5pt;z-index:-167760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395.1pt;margin-top:296pt;z-index:-16776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249.45pt;margin-top:309.5pt;z-index:-167760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322.25pt;margin-top:296pt;z-index:-16776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14.5pt;margin-top:309.5pt;z-index:-1677605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14.5pt;margin-top:296pt;z-index:-16776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249.45pt;margin-top:296pt;z-index:-167760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531.7pt;margin-top:282.5pt;z-index:-167760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531.7pt;margin-top:296pt;z-index:-167760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95.5pt;margin-top:282.5pt;z-index:-16776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467.9pt;margin-top:282.5pt;z-index:-167760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467.9pt;margin-top:296pt;z-index:-167760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531.7pt;margin-top:282.5pt;z-index:-167760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395.1pt;margin-top:282.5pt;z-index:-167760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395.1pt;margin-top:296pt;z-index:-167760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467.9pt;margin-top:282.5pt;z-index:-167760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322.25pt;margin-top:282.5pt;z-index:-167760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22.25pt;margin-top:296pt;z-index:-16776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395.1pt;margin-top:282.5pt;z-index:-16775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249.45pt;margin-top:282.5pt;z-index:-167759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249.45pt;margin-top:296pt;z-index:-167759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322.25pt;margin-top:282.5pt;z-index:-16775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4.5pt;margin-top:296pt;z-index:-1677598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14.5pt;margin-top:282.5pt;z-index:-16775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249.45pt;margin-top:282.5pt;z-index:-16775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14.5pt;margin-top:267.45pt;z-index:-16775968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14.5pt;margin-top:282.5pt;z-index:-1677596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14.5pt;margin-top:267.45pt;z-index:-1677596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595.5pt;margin-top:267.45pt;z-index:-167759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531.7pt;margin-top:267.45pt;z-index:-167759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595.5pt;margin-top:253.95pt;z-index:-16775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467.9pt;margin-top:267.45pt;z-index:-167759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31.7pt;margin-top:253.95pt;z-index:-16775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457.4pt;margin-top:253.95pt;z-index:-167759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457.4pt;margin-top:267.45pt;z-index:-167759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67.9pt;margin-top:253.95pt;z-index:-16775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395.1pt;margin-top:267.45pt;z-index:-167759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384.55pt;margin-top:253.95pt;z-index:-167759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384.55pt;margin-top:267.45pt;z-index:-167759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95.1pt;margin-top:253.95pt;z-index:-16775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322.25pt;margin-top:267.45pt;z-index:-167759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311.75pt;margin-top:253.95pt;z-index:-167759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311.75pt;margin-top:267.45pt;z-index:-167759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322.25pt;margin-top:253.95pt;z-index:-16775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249.45pt;margin-top:267.45pt;z-index:-167758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14.5pt;margin-top:267.45pt;z-index:-1677588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14.5pt;margin-top:253.95pt;z-index:-16775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249.45pt;margin-top:253.95pt;z-index:-16775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531.7pt;margin-top:253.95pt;z-index:-167758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595.5pt;margin-top:240.45pt;z-index:-16775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467.9pt;margin-top:253.95pt;z-index:-167758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31.7pt;margin-top:240.45pt;z-index:-16775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95.1pt;margin-top:240.45pt;z-index:-167758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395.1pt;margin-top:253.95pt;z-index:-167758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467.9pt;margin-top:240.45pt;z-index:-16775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322.25pt;margin-top:240.45pt;z-index:-16775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322.25pt;margin-top:253.95pt;z-index:-16775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395.1pt;margin-top:240.45pt;z-index:-16775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249.45pt;margin-top:240.45pt;z-index:-16775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249.45pt;margin-top:253.95pt;z-index:-16775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322.25pt;margin-top:240.45pt;z-index:-16775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4.5pt;margin-top:253.95pt;z-index:-1677582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4.5pt;margin-top:240.45pt;z-index:-16775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249.45pt;margin-top:240.45pt;z-index:-16775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31.7pt;margin-top:240.45pt;z-index:-167758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95.5pt;margin-top:226.95pt;z-index:-16775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67.9pt;margin-top:240.45pt;z-index:-167758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31.7pt;margin-top:226.95pt;z-index:-16775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457.4pt;margin-top:226.95pt;z-index:-167757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457.4pt;margin-top:240.45pt;z-index:-167757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467.9pt;margin-top:226.95pt;z-index:-16775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395.1pt;margin-top:240.45pt;z-index:-167757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384.55pt;margin-top:226.95pt;z-index:-167757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384.55pt;margin-top:240.45pt;z-index:-167757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395.1pt;margin-top:226.95pt;z-index:-16775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322.25pt;margin-top:240.45pt;z-index:-167757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311.75pt;margin-top:226.95pt;z-index:-167757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311.75pt;margin-top:240.45pt;z-index:-167757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322.25pt;margin-top:226.95pt;z-index:-16775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249.45pt;margin-top:240.45pt;z-index:-167757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14.5pt;margin-top:240.45pt;z-index:-1677574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14.5pt;margin-top:226.95pt;z-index:-167757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249.45pt;margin-top:226.95pt;z-index:-16775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531.7pt;margin-top:226.95pt;z-index:-167757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595.5pt;margin-top:213.45pt;z-index:-16775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467.9pt;margin-top:226.95pt;z-index:-167757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531.7pt;margin-top:213.45pt;z-index:-16775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395.1pt;margin-top:226.95pt;z-index:-167757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467.9pt;margin-top:213.45pt;z-index:-16775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322.25pt;margin-top:226.95pt;z-index:-167757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395.1pt;margin-top:213.45pt;z-index:-16775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249.45pt;margin-top:226.95pt;z-index:-16775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322.25pt;margin-top:213.45pt;z-index:-167757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14.5pt;margin-top:226.95pt;z-index:-1677569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14.5pt;margin-top:213.45pt;z-index:-167756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249.45pt;margin-top:213.45pt;z-index:-16775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531.7pt;margin-top:213.45pt;z-index:-167756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95.5pt;margin-top:199.9pt;z-index:-16775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67.9pt;margin-top:213.45pt;z-index:-167756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531.7pt;margin-top:199.9pt;z-index:-16775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395.1pt;margin-top:213.45pt;z-index:-16775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467.9pt;margin-top:199.9pt;z-index:-16775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322.25pt;margin-top:213.45pt;z-index:-167756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395.1pt;margin-top:199.9pt;z-index:-16775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249.45pt;margin-top:213.45pt;z-index:-16775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322.25pt;margin-top:199.9pt;z-index:-16775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14.5pt;margin-top:213.45pt;z-index:-1677564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14.5pt;margin-top:199.9pt;z-index:-16775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249.45pt;margin-top:199.9pt;z-index:-167756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31.7pt;margin-top:180.4pt;z-index:-167756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531.7pt;margin-top:199.9pt;z-index:-167756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595.5pt;margin-top:180.4pt;z-index:-1677562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67.9pt;margin-top:199.9pt;z-index:-167756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31.7pt;margin-top:180.4pt;z-index:-167756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395.1pt;margin-top:180.4pt;z-index:-16775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395.1pt;margin-top:199.9pt;z-index:-16775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467.9pt;margin-top:180.4pt;z-index:-1677560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322.25pt;margin-top:180.4pt;z-index:-167756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322.25pt;margin-top:199.9pt;z-index:-167755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95.1pt;margin-top:180.4pt;z-index:-167755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249.45pt;margin-top:199.9pt;z-index:-167755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22.25pt;margin-top:180.4pt;z-index:-167755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14.5pt;margin-top:199.9pt;z-index:-1677558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14.5pt;margin-top:180.4pt;z-index:-167755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249.45pt;margin-top:180.4pt;z-index:-167755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467.9pt;margin-top:166.9pt;z-index:-16775568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467.9pt;margin-top:180.4pt;z-index:-1677556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95.5pt;margin-top:166.9pt;z-index:-167755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249.45pt;margin-top:166.9pt;z-index:-1677555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249.45pt;margin-top:180.4pt;z-index:-1677555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467.9pt;margin-top:166.9pt;z-index:-167755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14.5pt;margin-top:166.9pt;z-index:-1677554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14.5pt;margin-top:180.4pt;z-index:-1677554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14.5pt;margin-top:166.9pt;z-index:-16775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249.45pt;margin-top:166.9pt;z-index:-16775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94pt;margin-top:166.9pt;z-index:-1677552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536.95pt;margin-top:166.9pt;z-index:-167755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31.7pt;margin-top:166.9pt;z-index:-16775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30.2pt;margin-top:166.9pt;z-index:-16775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473.15pt;margin-top:166.9pt;z-index:-167755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467.9pt;margin-top:166.9pt;z-index:-16775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57.4pt;margin-top:166.9pt;z-index:-167755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400.35pt;margin-top:166.9pt;z-index:-167755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395.1pt;margin-top:166.9pt;z-index:-16775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384.55pt;margin-top:166.9pt;z-index:-1677549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327.5pt;margin-top:166.9pt;z-index:-167754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322.25pt;margin-top:166.9pt;z-index:-16775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311.75pt;margin-top:166.9pt;z-index:-1677548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254.7pt;margin-top:166.9pt;z-index:-167754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249.45pt;margin-top:166.9pt;z-index:-16775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247.95pt;margin-top:166.9pt;z-index:-1677546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19pt;margin-top:166.9pt;z-index:-16775464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4.5pt;margin-top:166.9pt;z-index:-167754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3pt;margin-top:420.6pt;z-index:-1677545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28.7pt;margin-top:420.6pt;z-index:-167754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94.75pt;margin-top:405.6pt;z-index:-167754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13pt;margin-top:420.6pt;z-index:-16775444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13pt;margin-top:405.6pt;z-index:-167754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28.7pt;margin-top:405.6pt;z-index:-167754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28.7pt;margin-top:405.6pt;z-index:-167754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94.75pt;margin-top:390.6pt;z-index:-167754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13pt;margin-top:405.6pt;z-index:-16775424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3pt;margin-top:390.6pt;z-index:-1677542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28.7pt;margin-top:390.6pt;z-index:-1677541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28.7pt;margin-top:390.6pt;z-index:-167754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94.75pt;margin-top:375.55pt;z-index:-167754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13pt;margin-top:390.6pt;z-index:-16775404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13pt;margin-top:375.55pt;z-index:-1677540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528.7pt;margin-top:375.55pt;z-index:-167753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28.7pt;margin-top:375.55pt;z-index:-167753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94.75pt;margin-top:360.55pt;z-index:-167753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13pt;margin-top:375.55pt;z-index:-16775384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13pt;margin-top:360.55pt;z-index:-1677538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28.7pt;margin-top:360.55pt;z-index:-167753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28.7pt;margin-top:339.55pt;z-index:-167753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28.7pt;margin-top:360.55pt;z-index:-16775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94.75pt;margin-top:339.55pt;z-index:-16775364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13pt;margin-top:339.55pt;z-index:-16775360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13pt;margin-top:360.55pt;z-index:-16775356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13pt;margin-top:339.55pt;z-index:-16775352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528.7pt;margin-top:339.55pt;z-index:-16775348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593.25pt;margin-top:339.55pt;z-index:-167753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533.95pt;margin-top:339.55pt;z-index:-167753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528.7pt;margin-top:339.55pt;z-index:-16775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27.2pt;margin-top:339.55pt;z-index:-1677533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18.25pt;margin-top:339.55pt;z-index:-16775328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13pt;margin-top:339.55pt;z-index:-167753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</w:p>
    <w:p>
      <w:pPr>
        <w:pStyle w:val="Normal"/>
        <w:framePr w:w="1778" w:hAnchor="page" w:vAnchor="page" w:x="5459" w:y="121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1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24</w:t>
      </w:r>
    </w:p>
    <w:p>
      <w:pPr>
        <w:pStyle w:val="Normal"/>
        <w:framePr w:w="7292" w:hAnchor="page" w:vAnchor="page" w:x="1001" w:y="104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“substantial” contract is between $250 million and $500 million.</w:t>
      </w:r>
    </w:p>
    <w:p>
      <w:pPr>
        <w:pStyle w:val="Normal"/>
        <w:framePr w:w="10440" w:hAnchor="page" w:vAnchor="page" w:x="1001" w:y="101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covers the design, engineering, and manufacture of flexible pipe for water injection and gas lift. </w:t>
      </w:r>
    </w:p>
    <w:p>
      <w:pPr>
        <w:pStyle w:val="Normal"/>
        <w:framePr w:w="12293" w:hAnchor="page" w:vAnchor="page" w:x="1001" w:y="98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Substantial*  contract  by  Petrobras  to  supply  flexible  pipe  for  the  pre-salt  fields  offshore  Brazil.  The  contract</w:t>
      </w:r>
    </w:p>
    <w:p>
      <w:pPr>
        <w:pStyle w:val="Normal"/>
        <w:framePr w:w="5128" w:hAnchor="page" w:vAnchor="page" w:x="640" w:y="96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Petrobras Flexible Pipe contract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framePr w:w="6337" w:hAnchor="page" w:vAnchor="page" w:x="1001" w:y="9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“large” contract is between $500 million and $1 billion.</w:t>
      </w:r>
    </w:p>
    <w:p>
      <w:pPr>
        <w:pStyle w:val="Normal"/>
        <w:framePr w:w="12292" w:hAnchor="page" w:vAnchor="page" w:x="1001" w:y="89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delivered fully integrated subsea solutions utilizing our iEPCI™ execution model for both of these developments.</w:t>
      </w:r>
    </w:p>
    <w:p>
      <w:pPr>
        <w:pStyle w:val="Normal"/>
        <w:framePr w:w="12290" w:hAnchor="page" w:vAnchor="page" w:x="1001" w:y="87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offloading vessel (FPSO), which currently serves the Karish and Karish North developments. TechnipFMC also</w:t>
      </w:r>
    </w:p>
    <w:p>
      <w:pPr>
        <w:pStyle w:val="Normal"/>
        <w:framePr w:w="12283" w:hAnchor="page" w:vAnchor="page" w:x="1001" w:y="84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structures.  The  subsea  infrastructure  will  tie  back  to  the  Energean  Power  floating  production,  storage,  and</w:t>
      </w:r>
    </w:p>
    <w:p>
      <w:pPr>
        <w:pStyle w:val="Normal"/>
        <w:framePr w:w="12296" w:hAnchor="page" w:vAnchor="page" w:x="1001" w:y="82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contract covers the design, manufacture, and installation of the production systems, pipe, umbilicals, and subsea</w:t>
      </w:r>
    </w:p>
    <w:p>
      <w:pPr>
        <w:pStyle w:val="Normal"/>
        <w:framePr w:w="12290" w:hAnchor="page" w:vAnchor="page" w:x="1001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iFEED™ study by TechnipFMC, which optimized the commercial and technological solution for the field. The</w:t>
      </w:r>
    </w:p>
    <w:p>
      <w:pPr>
        <w:pStyle w:val="Normal"/>
        <w:framePr w:w="12282" w:hAnchor="page" w:vAnchor="page" w:x="1001" w:y="76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first  project  to  use  TechnipFMC’s  configure-to-order  Subsea  2.0 production  systems.  The  award  follows  an</w:t>
      </w:r>
    </w:p>
    <w:p>
      <w:pPr>
        <w:pStyle w:val="Normal"/>
        <w:framePr w:w="294" w:hAnchor="page" w:vAnchor="page" w:x="7443" w:y="7657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2601" w:hAnchor="page" w:vAnchor="page" w:x="1001" w:y="74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Large* iEPCI™ contract by Energean for its Katlan development in the Mediterranean Sea. This is Energean’</w:t>
      </w:r>
    </w:p>
    <w:p>
      <w:pPr>
        <w:pStyle w:val="Normal"/>
        <w:framePr w:w="363" w:hAnchor="page" w:vAnchor="page" w:x="11841" w:y="74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</w:t>
      </w:r>
    </w:p>
    <w:p>
      <w:pPr>
        <w:pStyle w:val="Normal"/>
        <w:framePr w:w="5131" w:hAnchor="page" w:vAnchor="page" w:x="640" w:y="71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Energean Katlan iEPCI™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(Israel)</w:t>
      </w:r>
    </w:p>
    <w:p>
      <w:pPr>
        <w:pStyle w:val="Normal"/>
        <w:framePr w:w="7076" w:hAnchor="page" w:vAnchor="page" w:x="1001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1668" w:hAnchor="page" w:vAnchor="page" w:x="1001" w:y="64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TechnipFMC.</w:t>
      </w:r>
    </w:p>
    <w:p>
      <w:pPr>
        <w:pStyle w:val="Normal"/>
        <w:framePr w:w="12297" w:hAnchor="page" w:vAnchor="page" w:x="1001" w:y="62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TechnipFMC. The contract is the latest call-off on the framework agreement between Woodside Energy and</w:t>
      </w:r>
    </w:p>
    <w:p>
      <w:pPr>
        <w:pStyle w:val="Normal"/>
        <w:framePr w:w="12296" w:hAnchor="page" w:vAnchor="page" w:x="1001" w:y="59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production  system.  Xena  Phase  3  will  be  tied  back  to  existing  subsea  infrastructure  previously  supplied  by</w:t>
      </w:r>
    </w:p>
    <w:p>
      <w:pPr>
        <w:pStyle w:val="Normal"/>
        <w:framePr w:w="12170" w:hAnchor="page" w:vAnchor="page" w:x="1001" w:y="56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integrated  front  end  engineering  design  (iFEED™)  study.  The  project  will  use  the  Company’s  Subsea  2.0</w:t>
      </w:r>
    </w:p>
    <w:p>
      <w:pPr>
        <w:pStyle w:val="Normal"/>
        <w:framePr w:w="294" w:hAnchor="page" w:vAnchor="page" w:x="11844" w:y="5690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2294" w:hAnchor="page" w:vAnchor="page" w:x="1001" w:y="54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Xena  Infill  well  (XNA03)  to  support  ongoing  production  from  the  Pluto  LNG  Project.  The  award  follows  an</w:t>
      </w:r>
    </w:p>
    <w:p>
      <w:pPr>
        <w:pStyle w:val="Normal"/>
        <w:framePr w:w="12292" w:hAnchor="page" w:vAnchor="page" w:x="1001" w:y="51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Energy to design, manufacture, and install the subsea production system, flexible pipe, and umbilicals for the</w:t>
      </w:r>
    </w:p>
    <w:p>
      <w:pPr>
        <w:pStyle w:val="Normal"/>
        <w:framePr w:w="12293" w:hAnchor="page" w:vAnchor="page" w:x="1001" w:y="49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integrated Engineering, Procurement, Construction, and Installation (iEPCI™) contract by Woodside</w:t>
      </w:r>
    </w:p>
    <w:p>
      <w:pPr>
        <w:pStyle w:val="Normal"/>
        <w:framePr w:w="7255" w:hAnchor="page" w:vAnchor="page" w:x="640" w:y="46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Woodside Energy Xena Phase 3 iEPCI™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(Australia)</w:t>
      </w:r>
    </w:p>
    <w:p>
      <w:pPr>
        <w:pStyle w:val="Normal"/>
        <w:framePr w:w="6337" w:hAnchor="page" w:vAnchor="page" w:x="1001" w:y="4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“large” contract is between $500 million and $1 billion.</w:t>
      </w:r>
    </w:p>
    <w:p>
      <w:pPr>
        <w:pStyle w:val="Normal"/>
        <w:framePr w:w="11597" w:hAnchor="page" w:vAnchor="page" w:x="1001" w:y="39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been awarded subsea production system contracts since the first contract award in 2017 for Liza Phase 1.</w:t>
      </w:r>
    </w:p>
    <w:p>
      <w:pPr>
        <w:pStyle w:val="Normal"/>
        <w:framePr w:w="12285" w:hAnchor="page" w:vAnchor="page" w:x="1001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equipment. Whiptail is TechnipFMC’s most recent award from ExxonMobil Guyana, where the Company has</w:t>
      </w:r>
    </w:p>
    <w:p>
      <w:pPr>
        <w:pStyle w:val="Normal"/>
        <w:framePr w:w="12290" w:hAnchor="page" w:vAnchor="page" w:x="1001" w:y="34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deliver  48  subsea  trees  and  associated  tooling,  as  well  as  12  manifolds  and  associated  controls  and  tie-in</w:t>
      </w:r>
    </w:p>
    <w:p>
      <w:pPr>
        <w:pStyle w:val="Normal"/>
        <w:framePr w:w="12289" w:hAnchor="page" w:vAnchor="page" w:x="1001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Guyana’s  Stabroek  Block.  TechnipFMC  will  provide  project  management,  engineering,  and  manufacturing  to</w:t>
      </w:r>
    </w:p>
    <w:p>
      <w:pPr>
        <w:pStyle w:val="Normal"/>
        <w:framePr w:w="12296" w:hAnchor="page" w:vAnchor="page" w:x="1001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Large* contract award by ExxonMobil Guyana to supply subsea production systems for the Whiptail project in</w:t>
      </w:r>
    </w:p>
    <w:p>
      <w:pPr>
        <w:pStyle w:val="Normal"/>
        <w:framePr w:w="4878" w:hAnchor="page" w:vAnchor="page" w:x="64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ExxonMobil Whiptail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(Guyana)</w:t>
      </w:r>
    </w:p>
    <w:p>
      <w:pPr>
        <w:pStyle w:val="Normal"/>
        <w:framePr w:w="1386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period:</w:t>
      </w:r>
    </w:p>
    <w:p>
      <w:pPr>
        <w:pStyle w:val="Normal"/>
        <w:framePr w:w="13074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$2.8 billion for the quarter. Book-to-bill was 1.4x. The following awards were included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7pt;margin-top:1pt;z-index:-16775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13pt;margin-top:625.5pt;z-index:-16775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13pt;margin-top:626.25pt;z-index:-16775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96.25pt;margin-top:625.5pt;z-index:-16775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13pt;margin-top:625.5pt;z-index:-16775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14pt;margin-top:2pt;z-index:-1677530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</w:p>
    <w:p>
      <w:pPr>
        <w:pStyle w:val="Normal"/>
        <w:framePr w:w="1778" w:hAnchor="page" w:vAnchor="page" w:x="5459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24</w:t>
      </w:r>
    </w:p>
    <w:p>
      <w:pPr>
        <w:pStyle w:val="Normal"/>
        <w:framePr w:w="1803" w:hAnchor="page" w:vAnchor="page" w:x="280" w:y="102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$972.9 million.</w:t>
      </w:r>
    </w:p>
    <w:p>
      <w:pPr>
        <w:pStyle w:val="Normal"/>
        <w:framePr w:w="13076" w:hAnchor="page" w:vAnchor="page" w:x="280" w:y="100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$254.2 million, a sequential decrease of 31.4 percent. Backlog ended the period at</w:t>
      </w:r>
    </w:p>
    <w:p>
      <w:pPr>
        <w:pStyle w:val="Normal"/>
        <w:framePr w:w="12889" w:hAnchor="page" w:vAnchor="page" w:x="280" w:y="95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absence of Measurement Solutions. Adjusted EBITDA margin increased 100 basis points sequentially to 14.5 percent.</w:t>
      </w:r>
    </w:p>
    <w:p>
      <w:pPr>
        <w:pStyle w:val="Normal"/>
        <w:framePr w:w="13087" w:hAnchor="page" w:vAnchor="page" w:x="280" w:y="92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compared to the first quarter. The improvement was driven by higher volume in the Middle East, largely offset by the</w:t>
      </w:r>
    </w:p>
    <w:p>
      <w:pPr>
        <w:pStyle w:val="Normal"/>
        <w:framePr w:w="13075" w:hAnchor="page" w:vAnchor="page" w:x="280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adjusted  EBITDA  of  $46   million.  Adjusted  EBITDA  increased  11.1  percent  when</w:t>
      </w:r>
    </w:p>
    <w:p>
      <w:pPr>
        <w:pStyle w:val="Normal"/>
        <w:framePr w:w="1305" w:hAnchor="page" w:vAnchor="page" w:x="280" w:y="85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Solutions.</w:t>
      </w:r>
    </w:p>
    <w:p>
      <w:pPr>
        <w:pStyle w:val="Normal"/>
        <w:framePr w:w="13082" w:hAnchor="page" w:vAnchor="page" w:x="280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primarily due to higher volume in the Middle East, largely offset by the absence of operating profit from Measurement</w:t>
      </w:r>
    </w:p>
    <w:p>
      <w:pPr>
        <w:pStyle w:val="Normal"/>
        <w:framePr w:w="13083" w:hAnchor="page" w:vAnchor="page" w:x="280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business. Excluding the gain on the disposal, operating profit increased $2.4 million sequentially. The increase was</w:t>
      </w:r>
    </w:p>
    <w:p>
      <w:pPr>
        <w:pStyle w:val="Normal"/>
        <w:framePr w:w="13080" w:hAnchor="page" w:vAnchor="page" w:x="280" w:y="77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Operating profit in the prior quarter benefited from a $75.2 million gain on the disposal of the Measurement Solutions</w:t>
      </w:r>
    </w:p>
    <w:p>
      <w:pPr>
        <w:pStyle w:val="Normal"/>
        <w:framePr w:w="13089" w:hAnchor="page" w:vAnchor="page" w:x="280" w:y="74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$30.6 million, a decrease of 70.4 percent versus the first quarter.</w:t>
      </w:r>
    </w:p>
    <w:p>
      <w:pPr>
        <w:pStyle w:val="Normal"/>
        <w:framePr w:w="10198" w:hAnchor="page" w:vAnchor="page" w:x="280" w:y="70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absence of revenue from the Measurement Solutions business disposed of in March of 2024.</w:t>
      </w:r>
    </w:p>
    <w:p>
      <w:pPr>
        <w:pStyle w:val="Normal"/>
        <w:framePr w:w="13075" w:hAnchor="page" w:vAnchor="page" w:x="280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sequential revenue improvement was primarily driven by increased activity in the Middle East, largely offset by the</w:t>
      </w:r>
    </w:p>
    <w:p>
      <w:pPr>
        <w:pStyle w:val="Normal"/>
        <w:framePr w:w="13076" w:hAnchor="page" w:vAnchor="page" w:x="280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second quarter revenue of $316.5 million, an increase of 3 percent from the first quarter.</w:t>
      </w:r>
    </w:p>
    <w:p>
      <w:pPr>
        <w:pStyle w:val="Normal"/>
        <w:framePr w:w="1174" w:hAnchor="page" w:vAnchor="page" w:x="345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974" w:hAnchor="page" w:vAnchor="page" w:x="583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$972.9</w:t>
      </w:r>
    </w:p>
    <w:p>
      <w:pPr>
        <w:pStyle w:val="Normal"/>
        <w:framePr w:w="1175" w:hAnchor="page" w:vAnchor="page" w:x="7123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$1,037.0</w:t>
      </w:r>
    </w:p>
    <w:p>
      <w:pPr>
        <w:pStyle w:val="Normal"/>
        <w:framePr w:w="1175" w:hAnchor="page" w:vAnchor="page" w:x="857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$1,190.1</w:t>
      </w:r>
    </w:p>
    <w:p>
      <w:pPr>
        <w:pStyle w:val="Normal"/>
        <w:framePr w:w="947" w:hAnchor="page" w:vAnchor="page" w:x="972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(6.2%)</w:t>
      </w:r>
    </w:p>
    <w:p>
      <w:pPr>
        <w:pStyle w:val="Normal"/>
        <w:framePr w:w="1081" w:hAnchor="page" w:vAnchor="page" w:x="1094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(18.3%)</w:t>
      </w:r>
    </w:p>
    <w:p>
      <w:pPr>
        <w:pStyle w:val="Normal"/>
        <w:framePr w:w="2001" w:hAnchor="page" w:vAnchor="page" w:x="345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34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$254.2</w:t>
      </w:r>
    </w:p>
    <w:p>
      <w:pPr>
        <w:pStyle w:val="Normal"/>
        <w:framePr w:w="974" w:hAnchor="page" w:vAnchor="page" w:x="729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$370.6</w:t>
      </w:r>
    </w:p>
    <w:p>
      <w:pPr>
        <w:pStyle w:val="Normal"/>
        <w:framePr w:w="974" w:hAnchor="page" w:vAnchor="page" w:x="8746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$332.8</w:t>
      </w:r>
    </w:p>
    <w:p>
      <w:pPr>
        <w:pStyle w:val="Normal"/>
        <w:framePr w:w="1081" w:hAnchor="page" w:vAnchor="page" w:x="9673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(31.4%)</w:t>
      </w:r>
    </w:p>
    <w:p>
      <w:pPr>
        <w:pStyle w:val="Normal"/>
        <w:framePr w:w="1081" w:hAnchor="page" w:vAnchor="page" w:x="10949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(23.6%)</w:t>
      </w:r>
    </w:p>
    <w:p>
      <w:pPr>
        <w:pStyle w:val="Normal"/>
        <w:framePr w:w="3095" w:hAnchor="page" w:vAnchor="page" w:x="345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14.5 %</w:t>
      </w:r>
    </w:p>
    <w:p>
      <w:pPr>
        <w:pStyle w:val="Normal"/>
        <w:framePr w:w="988" w:hAnchor="page" w:vAnchor="page" w:x="7266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13.5 %</w:t>
      </w:r>
    </w:p>
    <w:p>
      <w:pPr>
        <w:pStyle w:val="Normal"/>
        <w:framePr w:w="988" w:hAnchor="page" w:vAnchor="page" w:x="8723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13.3 %</w:t>
      </w:r>
    </w:p>
    <w:p>
      <w:pPr>
        <w:pStyle w:val="Normal"/>
        <w:framePr w:w="1094" w:hAnchor="page" w:vAnchor="page" w:x="9667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100 bps</w:t>
      </w:r>
    </w:p>
    <w:p>
      <w:pPr>
        <w:pStyle w:val="Normal"/>
        <w:framePr w:w="1094" w:hAnchor="page" w:vAnchor="page" w:x="10943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120 bps</w:t>
      </w:r>
    </w:p>
    <w:p>
      <w:pPr>
        <w:pStyle w:val="Normal"/>
        <w:framePr w:w="2228" w:hAnchor="page" w:vAnchor="page" w:x="3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$46.0</w:t>
      </w:r>
    </w:p>
    <w:p>
      <w:pPr>
        <w:pStyle w:val="Normal"/>
        <w:framePr w:w="841" w:hAnchor="page" w:vAnchor="page" w:x="7401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$41.4</w:t>
      </w:r>
    </w:p>
    <w:p>
      <w:pPr>
        <w:pStyle w:val="Normal"/>
        <w:framePr w:w="841" w:hAnchor="page" w:vAnchor="page" w:x="8857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$46.9</w:t>
      </w:r>
    </w:p>
    <w:p>
      <w:pPr>
        <w:pStyle w:val="Normal"/>
        <w:framePr w:w="903" w:hAnchor="page" w:vAnchor="page" w:x="9747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11.1%</w:t>
      </w:r>
    </w:p>
    <w:p>
      <w:pPr>
        <w:pStyle w:val="Normal"/>
        <w:framePr w:w="947" w:hAnchor="page" w:vAnchor="page" w:x="1100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(1.9%)</w:t>
      </w:r>
    </w:p>
    <w:p>
      <w:pPr>
        <w:pStyle w:val="Normal"/>
        <w:framePr w:w="2921" w:hAnchor="page" w:vAnchor="page" w:x="345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854" w:hAnchor="page" w:vAnchor="page" w:x="5922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9.7 %</w:t>
      </w:r>
    </w:p>
    <w:p>
      <w:pPr>
        <w:pStyle w:val="Normal"/>
        <w:framePr w:w="988" w:hAnchor="page" w:vAnchor="page" w:x="7266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33.7 %</w:t>
      </w:r>
    </w:p>
    <w:p>
      <w:pPr>
        <w:pStyle w:val="Normal"/>
        <w:framePr w:w="2275" w:hAnchor="page" w:vAnchor="page" w:x="8834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7.3 %   (2,400 bps)</w:t>
      </w:r>
    </w:p>
    <w:p>
      <w:pPr>
        <w:pStyle w:val="Normal"/>
        <w:framePr w:w="1094" w:hAnchor="page" w:vAnchor="page" w:x="10943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240 bps</w:t>
      </w:r>
    </w:p>
    <w:p>
      <w:pPr>
        <w:pStyle w:val="Normal"/>
        <w:framePr w:w="2054" w:hAnchor="page" w:vAnchor="page" w:x="3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$30.6</w:t>
      </w:r>
    </w:p>
    <w:p>
      <w:pPr>
        <w:pStyle w:val="Normal"/>
        <w:framePr w:w="974" w:hAnchor="page" w:vAnchor="page" w:x="729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$103.4</w:t>
      </w:r>
    </w:p>
    <w:p>
      <w:pPr>
        <w:pStyle w:val="Normal"/>
        <w:framePr w:w="841" w:hAnchor="page" w:vAnchor="page" w:x="8857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$25.7</w:t>
      </w:r>
    </w:p>
    <w:p>
      <w:pPr>
        <w:pStyle w:val="Normal"/>
        <w:framePr w:w="1081" w:hAnchor="page" w:vAnchor="page" w:x="9673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(70.4%)</w:t>
      </w:r>
    </w:p>
    <w:p>
      <w:pPr>
        <w:pStyle w:val="Normal"/>
        <w:framePr w:w="921" w:hAnchor="page" w:vAnchor="page" w:x="11016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19.1%</w:t>
      </w:r>
    </w:p>
    <w:p>
      <w:pPr>
        <w:pStyle w:val="Normal"/>
        <w:framePr w:w="1241" w:hAnchor="page" w:vAnchor="page" w:x="34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34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$316.5</w:t>
      </w:r>
    </w:p>
    <w:p>
      <w:pPr>
        <w:pStyle w:val="Normal"/>
        <w:framePr w:w="974" w:hAnchor="page" w:vAnchor="page" w:x="729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$307.2</w:t>
      </w:r>
    </w:p>
    <w:p>
      <w:pPr>
        <w:pStyle w:val="Normal"/>
        <w:framePr w:w="974" w:hAnchor="page" w:vAnchor="page" w:x="8746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$353.8</w:t>
      </w:r>
    </w:p>
    <w:p>
      <w:pPr>
        <w:pStyle w:val="Normal"/>
        <w:framePr w:w="787" w:hAnchor="page" w:vAnchor="page" w:x="979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3.0%</w:t>
      </w:r>
    </w:p>
    <w:p>
      <w:pPr>
        <w:pStyle w:val="Normal"/>
        <w:framePr w:w="1081" w:hAnchor="page" w:vAnchor="page" w:x="10949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(10.5%)</w:t>
      </w:r>
    </w:p>
    <w:p>
      <w:pPr>
        <w:pStyle w:val="Normal"/>
        <w:framePr w:w="619" w:hAnchor="page" w:vAnchor="page" w:x="5582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023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47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63" w:hAnchor="page" w:vAnchor="page" w:x="961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07" w:hAnchor="page" w:vAnchor="page" w:x="546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0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59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425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6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7pt;margin-top:1pt;z-index:-167752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13pt;margin-top:633.8pt;z-index:-16775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13pt;margin-top:634.55pt;z-index:-16775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596.25pt;margin-top:633.8pt;z-index:-16775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13pt;margin-top:633.8pt;z-index:-16775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14pt;margin-top:2pt;z-index:-1677527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13pt;margin-top:88.8pt;z-index:-16775272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31.7pt;margin-top:295.25pt;z-index:-167752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595.5pt;margin-top:281.75pt;z-index:-16775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467.9pt;margin-top:295.25pt;z-index:-167752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531.7pt;margin-top:281.75pt;z-index:-167752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395.1pt;margin-top:295.25pt;z-index:-167752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467.9pt;margin-top:281.75pt;z-index:-16775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322.25pt;margin-top:295.25pt;z-index:-167752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395.1pt;margin-top:281.75pt;z-index:-16775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250.95pt;margin-top:295.25pt;z-index:-167752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322.25pt;margin-top:281.75pt;z-index:-167752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14.5pt;margin-top:295.25pt;z-index:-16775228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14.5pt;margin-top:281.75pt;z-index:-16775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250.95pt;margin-top:281.75pt;z-index:-16775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31.7pt;margin-top:268.25pt;z-index:-167752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31.7pt;margin-top:281.75pt;z-index:-167752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595.5pt;margin-top:268.25pt;z-index:-167752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467.9pt;margin-top:268.25pt;z-index:-167752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467.9pt;margin-top:281.75pt;z-index:-167752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531.7pt;margin-top:268.25pt;z-index:-167751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395.1pt;margin-top:268.25pt;z-index:-167751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395.1pt;margin-top:281.75pt;z-index:-167751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467.9pt;margin-top:268.25pt;z-index:-167751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322.25pt;margin-top:268.25pt;z-index:-167751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322.25pt;margin-top:281.75pt;z-index:-167751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395.1pt;margin-top:268.25pt;z-index:-167751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250.95pt;margin-top:268.25pt;z-index:-1677516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250.95pt;margin-top:281.75pt;z-index:-167751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322.25pt;margin-top:268.25pt;z-index:-167751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14.5pt;margin-top:281.75pt;z-index:-1677515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14.5pt;margin-top:268.25pt;z-index:-16775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250.95pt;margin-top:268.25pt;z-index:-167751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14.5pt;margin-top:253.2pt;z-index:-1677514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14.5pt;margin-top:268.25pt;z-index:-1677514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14.5pt;margin-top:253.2pt;z-index:-167751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95.5pt;margin-top:253.2pt;z-index:-167751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531.7pt;margin-top:253.2pt;z-index:-167751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95.5pt;margin-top:239.7pt;z-index:-167751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467.9pt;margin-top:253.2pt;z-index:-167751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31.7pt;margin-top:239.7pt;z-index:-16775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457.4pt;margin-top:239.7pt;z-index:-167751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457.4pt;margin-top:253.2pt;z-index:-167751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467.9pt;margin-top:239.7pt;z-index:-167751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395.1pt;margin-top:253.2pt;z-index:-167751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384.55pt;margin-top:239.7pt;z-index:-167750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384.55pt;margin-top:253.2pt;z-index:-167750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395.1pt;margin-top:239.7pt;z-index:-16775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322.25pt;margin-top:253.2pt;z-index:-167750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311.75pt;margin-top:239.7pt;z-index:-167750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311.75pt;margin-top:253.2pt;z-index:-167750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322.25pt;margin-top:239.7pt;z-index:-16775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250.95pt;margin-top:253.2pt;z-index:-167750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14.5pt;margin-top:253.2pt;z-index:-1677506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14.5pt;margin-top:239.7pt;z-index:-167750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250.95pt;margin-top:239.7pt;z-index:-16775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531.7pt;margin-top:239.7pt;z-index:-167750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595.5pt;margin-top:226.2pt;z-index:-16775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467.9pt;margin-top:239.7pt;z-index:-167750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31.7pt;margin-top:226.2pt;z-index:-16775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395.1pt;margin-top:226.2pt;z-index:-167750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395.1pt;margin-top:239.7pt;z-index:-167750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467.9pt;margin-top:226.2pt;z-index:-167750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322.25pt;margin-top:226.2pt;z-index:-16775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322.25pt;margin-top:239.7pt;z-index:-167750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395.1pt;margin-top:226.2pt;z-index:-167750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250.95pt;margin-top:226.2pt;z-index:-167750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250.95pt;margin-top:239.7pt;z-index:-167750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322.25pt;margin-top:226.2pt;z-index:-167750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14.5pt;margin-top:239.7pt;z-index:-1677500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14.5pt;margin-top:226.2pt;z-index:-16774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250.95pt;margin-top:226.2pt;z-index:-16774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531.7pt;margin-top:226.2pt;z-index:-167749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595.5pt;margin-top:212.7pt;z-index:-16774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467.9pt;margin-top:226.2pt;z-index:-167749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531.7pt;margin-top:212.7pt;z-index:-16774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457.4pt;margin-top:212.7pt;z-index:-167749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457.4pt;margin-top:226.2pt;z-index:-167749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467.9pt;margin-top:212.7pt;z-index:-16774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395.1pt;margin-top:226.2pt;z-index:-167749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384.55pt;margin-top:212.7pt;z-index:-167749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384.55pt;margin-top:226.2pt;z-index:-167749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395.1pt;margin-top:212.7pt;z-index:-16774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322.25pt;margin-top:226.2pt;z-index:-167749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311.75pt;margin-top:212.7pt;z-index:-167749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311.75pt;margin-top:226.2pt;z-index:-167749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322.25pt;margin-top:212.7pt;z-index:-16774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250.95pt;margin-top:226.2pt;z-index:-167749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14.5pt;margin-top:226.2pt;z-index:-1677492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14.5pt;margin-top:212.7pt;z-index:-167749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250.95pt;margin-top:212.7pt;z-index:-16774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531.7pt;margin-top:212.7pt;z-index:-167749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595.5pt;margin-top:199.15pt;z-index:-16774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467.9pt;margin-top:212.7pt;z-index:-167749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31.7pt;margin-top:199.15pt;z-index:-16774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395.1pt;margin-top:212.7pt;z-index:-16774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67.9pt;margin-top:199.15pt;z-index:-16774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322.25pt;margin-top:212.7pt;z-index:-167748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395.1pt;margin-top:199.15pt;z-index:-16774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250.95pt;margin-top:212.7pt;z-index:-167748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322.25pt;margin-top:199.15pt;z-index:-16774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14.5pt;margin-top:212.7pt;z-index:-1677487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14.5pt;margin-top:199.15pt;z-index:-16774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250.95pt;margin-top:199.15pt;z-index:-16774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31.7pt;margin-top:199.15pt;z-index:-167748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595.5pt;margin-top:185.65pt;z-index:-16774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467.9pt;margin-top:199.15pt;z-index:-167748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31.7pt;margin-top:185.65pt;z-index:-16774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395.1pt;margin-top:199.15pt;z-index:-16774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467.9pt;margin-top:185.65pt;z-index:-16774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322.25pt;margin-top:199.15pt;z-index:-16774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395.1pt;margin-top:185.65pt;z-index:-16774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250.95pt;margin-top:199.15pt;z-index:-167748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322.25pt;margin-top:185.65pt;z-index:-16774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14.5pt;margin-top:199.15pt;z-index:-1677482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14.5pt;margin-top:185.65pt;z-index:-16774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250.95pt;margin-top:185.65pt;z-index:-16774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31.7pt;margin-top:166.15pt;z-index:-167748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31.7pt;margin-top:185.65pt;z-index:-167748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95.5pt;margin-top:166.15pt;z-index:-167748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467.9pt;margin-top:185.65pt;z-index:-167747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31.7pt;margin-top:166.15pt;z-index:-167747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395.1pt;margin-top:166.15pt;z-index:-16774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395.1pt;margin-top:185.65pt;z-index:-167747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467.9pt;margin-top:166.15pt;z-index:-167747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322.25pt;margin-top:166.15pt;z-index:-167747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322.25pt;margin-top:185.65pt;z-index:-16774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395.1pt;margin-top:166.15pt;z-index:-167747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250.95pt;margin-top:185.65pt;z-index:-167747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322.25pt;margin-top:166.15pt;z-index:-167747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14.5pt;margin-top:185.65pt;z-index:-1677475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14.5pt;margin-top:166.15pt;z-index:-167747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250.95pt;margin-top:166.15pt;z-index:-1677474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467.9pt;margin-top:152.65pt;z-index:-1677474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467.9pt;margin-top:166.15pt;z-index:-1677474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595.5pt;margin-top:152.65pt;z-index:-167747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250.95pt;margin-top:152.65pt;z-index:-16774732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250.95pt;margin-top:166.15pt;z-index:-16774728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467.9pt;margin-top:152.65pt;z-index:-16774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14.5pt;margin-top:152.65pt;z-index:-1677472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4.5pt;margin-top:166.15pt;z-index:-1677471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4.5pt;margin-top:152.65pt;z-index:-16774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250.95pt;margin-top:152.65pt;z-index:-16774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94pt;margin-top:152.65pt;z-index:-1677470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36.95pt;margin-top:152.65pt;z-index:-167747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31.7pt;margin-top:152.65pt;z-index:-16774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30.2pt;margin-top:152.65pt;z-index:-16774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473.15pt;margin-top:152.65pt;z-index:-167746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467.9pt;margin-top:152.65pt;z-index:-16774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457.4pt;margin-top:152.65pt;z-index:-167746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400.35pt;margin-top:152.65pt;z-index:-167746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395.1pt;margin-top:152.65pt;z-index:-16774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384.55pt;margin-top:152.65pt;z-index:-1677466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327.5pt;margin-top:152.65pt;z-index:-167746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322.25pt;margin-top:152.65pt;z-index:-16774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311.75pt;margin-top:152.65pt;z-index:-1677465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256.2pt;margin-top:152.65pt;z-index:-167746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250.95pt;margin-top:152.65pt;z-index:-16774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249.45pt;margin-top:152.65pt;z-index:-167746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19pt;margin-top:152.65pt;z-index:-16774640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14.5pt;margin-top:152.65pt;z-index:-167746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</w:p>
    <w:p>
      <w:pPr>
        <w:pStyle w:val="Normal"/>
        <w:framePr w:w="1778" w:hAnchor="page" w:vAnchor="page" w:x="5459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24</w:t>
      </w:r>
    </w:p>
    <w:p>
      <w:pPr>
        <w:pStyle w:val="Normal"/>
        <w:framePr w:w="2058" w:hAnchor="page" w:vAnchor="page" w:x="280" w:y="90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term debt needs.</w:t>
      </w:r>
    </w:p>
    <w:p>
      <w:pPr>
        <w:pStyle w:val="Normal"/>
        <w:framePr w:w="13078" w:hAnchor="page" w:vAnchor="page" w:x="280" w:y="88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Credit Facility. Additionally, the Company will gain access to the lower-cost investment grade bond market for future</w:t>
      </w:r>
    </w:p>
    <w:p>
      <w:pPr>
        <w:pStyle w:val="Normal"/>
        <w:framePr w:w="13076" w:hAnchor="page" w:vAnchor="page" w:x="280" w:y="85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fees and eliminate all collateral requirements for its $1.25 billion Revolving Credit Facility and $500 million Letter of</w:t>
      </w:r>
    </w:p>
    <w:p>
      <w:pPr>
        <w:pStyle w:val="Normal"/>
        <w:framePr w:w="13076" w:hAnchor="page" w:vAnchor="page" w:x="280" w:y="83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With investment grade ratings from two credit rating agencies, the Company will benefit from lower interest rates and</w:t>
      </w:r>
    </w:p>
    <w:p>
      <w:pPr>
        <w:pStyle w:val="Normal"/>
        <w:framePr w:w="3497" w:hAnchor="page" w:vAnchor="page" w:x="280" w:y="78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investment grade (‘BBB-’).</w:t>
      </w:r>
    </w:p>
    <w:p>
      <w:pPr>
        <w:pStyle w:val="Normal"/>
        <w:framePr w:w="13075" w:hAnchor="page" w:vAnchor="page" w:x="280" w:y="75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which  elevated  both  the  issuer  credit  and   the  issue-level  ratings  on  the  Company’s  senior  unsecured  notes  to</w:t>
      </w:r>
    </w:p>
    <w:p>
      <w:pPr>
        <w:pStyle w:val="Normal"/>
        <w:framePr w:w="13076" w:hAnchor="page" w:vAnchor="page" w:x="280" w:y="73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revolving credit facility and senior unsecured notes. This follows a rating upgrade in early March by S&amp;P Global Ratings,</w:t>
      </w:r>
    </w:p>
    <w:p>
      <w:pPr>
        <w:pStyle w:val="Normal"/>
        <w:framePr w:w="10751" w:hAnchor="page" w:vAnchor="page" w:x="280" w:y="70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 the Company and its subsidiary, FMC Technologies Inc. Fitch Ratings also assigned ‘BBB-’</w:t>
      </w:r>
    </w:p>
    <w:p>
      <w:pPr>
        <w:pStyle w:val="Normal"/>
        <w:framePr w:w="3323" w:hAnchor="page" w:vAnchor="page" w:x="9443" w:y="70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ratings to the Company’</w:t>
      </w:r>
    </w:p>
    <w:p>
      <w:pPr>
        <w:pStyle w:val="Normal"/>
        <w:framePr w:w="363" w:hAnchor="page" w:vAnchor="page" w:x="11848" w:y="70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</w:t>
      </w:r>
    </w:p>
    <w:p>
      <w:pPr>
        <w:pStyle w:val="Normal"/>
        <w:framePr w:w="11104" w:hAnchor="page" w:vAnchor="page" w:x="280" w:y="67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 June 27, 2024, Fitch Ratings assigned a first-time Long-Term Issuer Default Rating of ‘BBB-’</w:t>
      </w:r>
    </w:p>
    <w:p>
      <w:pPr>
        <w:pStyle w:val="Normal"/>
        <w:framePr w:w="2644" w:hAnchor="page" w:vAnchor="page" w:x="9763" w:y="67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with a Stable Outlook</w:t>
      </w:r>
    </w:p>
    <w:p>
      <w:pPr>
        <w:pStyle w:val="Normal"/>
        <w:framePr w:w="4709" w:hAnchor="page" w:vAnchor="page" w:x="280" w:y="58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sequentially to $260.2 million (Exhibit 10).</w:t>
      </w:r>
    </w:p>
    <w:p>
      <w:pPr>
        <w:pStyle w:val="Normal"/>
        <w:framePr w:w="13088" w:hAnchor="page" w:vAnchor="page" w:x="280" w:y="56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ended the period with cash and cash equivalents of $708.2 million; net debt decreased $66.8 million</w:t>
      </w:r>
    </w:p>
    <w:p>
      <w:pPr>
        <w:pStyle w:val="Normal"/>
        <w:framePr w:w="12768" w:hAnchor="page" w:vAnchor="page" w:x="280" w:y="51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including a dividend payment of $21.5 million, total shareholder distributions in the quarter were $121.5 million.</w:t>
      </w:r>
    </w:p>
    <w:p>
      <w:pPr>
        <w:pStyle w:val="Normal"/>
        <w:framePr w:w="13077" w:hAnchor="page" w:vAnchor="page" w:x="280" w:y="49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3.9 million of its ordinary shares for total consideration of $100 million.</w:t>
      </w:r>
    </w:p>
    <w:p>
      <w:pPr>
        <w:pStyle w:val="Normal"/>
        <w:framePr w:w="3076" w:hAnchor="page" w:vAnchor="page" w:x="280" w:y="45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$180.1 million (Exhibit 11).</w:t>
      </w:r>
    </w:p>
    <w:p>
      <w:pPr>
        <w:pStyle w:val="Normal"/>
        <w:framePr w:w="13085" w:hAnchor="page" w:vAnchor="page" w:x="280" w:y="4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was $230.9 million. Capital expenditures were $50.8 million. Free cash flow was</w:t>
      </w:r>
    </w:p>
    <w:p>
      <w:pPr>
        <w:pStyle w:val="Normal"/>
        <w:framePr w:w="5987" w:hAnchor="page" w:vAnchor="page" w:x="280" w:y="37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$92.1 million.</w:t>
      </w:r>
    </w:p>
    <w:p>
      <w:pPr>
        <w:pStyle w:val="Normal"/>
        <w:framePr w:w="5529" w:hAnchor="page" w:vAnchor="page" w:x="280" w:y="33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$59.2 million.</w:t>
      </w:r>
    </w:p>
    <w:p>
      <w:pPr>
        <w:pStyle w:val="Normal"/>
        <w:framePr w:w="4453" w:hAnchor="page" w:vAnchor="page" w:x="280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$21.4 million.</w:t>
      </w:r>
    </w:p>
    <w:p>
      <w:pPr>
        <w:pStyle w:val="Normal"/>
        <w:framePr w:w="4668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was $17.7 million.</w:t>
      </w:r>
    </w:p>
    <w:p>
      <w:pPr>
        <w:pStyle w:val="Normal"/>
        <w:framePr w:w="4292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$23.7 million.</w:t>
      </w:r>
    </w:p>
    <w:p>
      <w:pPr>
        <w:pStyle w:val="Normal"/>
        <w:framePr w:w="729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 June 30, 2024)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7pt;margin-top:1pt;z-index:-167746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13pt;margin-top:579pt;z-index:-167746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13pt;margin-top:579.75pt;z-index:-16774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96.25pt;margin-top:579pt;z-index:-167746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13pt;margin-top:579pt;z-index:-16774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14pt;margin-top:2pt;z-index:-1677461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</w:p>
    <w:p>
      <w:pPr>
        <w:pStyle w:val="Normal"/>
        <w:framePr w:w="1778" w:hAnchor="page" w:vAnchor="page" w:x="5459" w:y="138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8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24</w:t>
      </w:r>
    </w:p>
    <w:p>
      <w:pPr>
        <w:pStyle w:val="Normal"/>
        <w:framePr w:w="243" w:hAnchor="page" w:vAnchor="page" w:x="280" w:y="12458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8170" w:hAnchor="page" w:vAnchor="page" w:x="408" w:y="124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Free cash flow is calculated as cash flow from operations less capital expenditures.</w:t>
      </w:r>
    </w:p>
    <w:p>
      <w:pPr>
        <w:pStyle w:val="Normal"/>
        <w:framePr w:w="13062" w:hAnchor="page" w:vAnchor="page" w:x="280" w:y="122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from each such measure. Such information may have a significant, and potentially unpredictable, impact on our future financial results.</w:t>
      </w:r>
    </w:p>
    <w:p>
      <w:pPr>
        <w:pStyle w:val="Normal"/>
        <w:framePr w:w="13783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unpredictability of the individual components of the most directly comparable GAAP financial measure and the variability of items excluded</w:t>
      </w:r>
    </w:p>
    <w:p>
      <w:pPr>
        <w:pStyle w:val="Normal"/>
        <w:framePr w:w="14068" w:hAnchor="page" w:vAnchor="page" w:x="280" w:y="118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unable to provide a reconciliation to comparable GAAP financial measures on a forward-looking basis without unreasonable effort because of</w:t>
      </w:r>
    </w:p>
    <w:p>
      <w:pPr>
        <w:pStyle w:val="Normal"/>
        <w:framePr w:w="234" w:hAnchor="page" w:vAnchor="page" w:x="280" w:y="11574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1</w:t>
      </w:r>
    </w:p>
    <w:p>
      <w:pPr>
        <w:pStyle w:val="Normal"/>
        <w:framePr w:w="13995" w:hAnchor="page" w:vAnchor="page" w:x="395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measures of adjusted EBITDA margin, free cash flow and adjusted corporate expense, net are non-GAAP financial measures. We</w:t>
      </w:r>
    </w:p>
    <w:p>
      <w:pPr>
        <w:pStyle w:val="Normal"/>
        <w:framePr w:w="5689" w:hAnchor="page" w:vAnchor="page" w:x="315" w:y="1074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payment for legal settlement of ~$170 million)</w:t>
      </w:r>
    </w:p>
    <w:p>
      <w:pPr>
        <w:pStyle w:val="Normal"/>
        <w:framePr w:w="3988" w:hAnchor="page" w:vAnchor="page" w:x="315" w:y="104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Free cash flow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 $425 - 575 million</w:t>
      </w:r>
    </w:p>
    <w:p>
      <w:pPr>
        <w:pStyle w:val="Normal"/>
        <w:framePr w:w="263" w:hAnchor="page" w:vAnchor="page" w:x="1844" w:y="10449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</w:t>
      </w:r>
    </w:p>
    <w:p>
      <w:pPr>
        <w:pStyle w:val="Normal"/>
        <w:framePr w:w="5555" w:hAnchor="page" w:vAnchor="page" w:x="315" w:y="98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$275 million</w:t>
      </w:r>
    </w:p>
    <w:p>
      <w:pPr>
        <w:pStyle w:val="Normal"/>
        <w:framePr w:w="5228" w:hAnchor="page" w:vAnchor="page" w:x="315" w:y="92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Tax provision, as reported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$280 - 290 million</w:t>
      </w:r>
    </w:p>
    <w:p>
      <w:pPr>
        <w:pStyle w:val="Normal"/>
        <w:framePr w:w="4318" w:hAnchor="page" w:vAnchor="page" w:x="315" w:y="86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$70 - 80 million</w:t>
      </w:r>
    </w:p>
    <w:p>
      <w:pPr>
        <w:pStyle w:val="Normal"/>
        <w:framePr w:w="8489" w:hAnchor="page" w:vAnchor="page" w:x="315" w:y="81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depreciation and amortization of ~$3 million; excludes charges and credits)</w:t>
      </w:r>
    </w:p>
    <w:p>
      <w:pPr>
        <w:pStyle w:val="Normal"/>
        <w:framePr w:w="4892" w:hAnchor="page" w:vAnchor="page" w:x="315" w:y="78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$115 - 125 million</w:t>
      </w:r>
    </w:p>
    <w:p>
      <w:pPr>
        <w:pStyle w:val="Normal"/>
        <w:framePr w:w="1676" w:hAnchor="page" w:vAnchor="page" w:x="5461" w:y="74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5539" w:hAnchor="page" w:vAnchor="page" w:x="315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16.5 - 17%</w:t>
      </w:r>
    </w:p>
    <w:p>
      <w:pPr>
        <w:pStyle w:val="Normal"/>
        <w:framePr w:w="5338" w:hAnchor="page" w:vAnchor="page" w:x="620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13 - 15%</w:t>
      </w:r>
    </w:p>
    <w:p>
      <w:pPr>
        <w:pStyle w:val="Normal"/>
        <w:framePr w:w="4365" w:hAnchor="page" w:vAnchor="page" w:x="315" w:y="6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$7.6 - 7.8 billion</w:t>
      </w:r>
    </w:p>
    <w:p>
      <w:pPr>
        <w:pStyle w:val="Normal"/>
        <w:framePr w:w="4498" w:hAnchor="page" w:vAnchor="page" w:x="6200" w:y="6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$1.2 - 1.35 billion</w:t>
      </w:r>
    </w:p>
    <w:p>
      <w:pPr>
        <w:pStyle w:val="Normal"/>
        <w:framePr w:w="1103" w:hAnchor="page" w:vAnchor="page" w:x="2764" w:y="62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7920" w:y="62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3889" w:hAnchor="page" w:vAnchor="page" w:x="4445" w:y="56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July 25, 2024)</w:t>
      </w:r>
    </w:p>
    <w:p>
      <w:pPr>
        <w:pStyle w:val="Normal"/>
        <w:framePr w:w="8391" w:hAnchor="page" w:vAnchor="page" w:x="280" w:y="51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March 11, 2024, are included in full-year guidance for Surface Technologies.</w:t>
      </w:r>
    </w:p>
    <w:p>
      <w:pPr>
        <w:pStyle w:val="Normal"/>
        <w:framePr w:w="13076" w:hAnchor="page" w:vAnchor="page" w:x="280" w:y="48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Financial results prior to the completion of the sale of the Measurement Solutions business, which was completed on</w:t>
      </w:r>
    </w:p>
    <w:p>
      <w:pPr>
        <w:pStyle w:val="Normal"/>
        <w:framePr w:w="995" w:hAnchor="page" w:vAnchor="page" w:x="1001" w:y="43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million.</w:t>
      </w:r>
    </w:p>
    <w:p>
      <w:pPr>
        <w:pStyle w:val="Normal"/>
        <w:framePr w:w="327" w:hAnchor="page" w:vAnchor="page" w:x="640" w:y="41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09" w:hAnchor="page" w:vAnchor="page" w:x="988" w:y="41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Free cash flow in a range of $425 - 575 million, which increased from the previous guidance range of $350 - 500</w:t>
      </w:r>
    </w:p>
    <w:p>
      <w:pPr>
        <w:pStyle w:val="Normal"/>
        <w:framePr w:w="1682" w:hAnchor="page" w:vAnchor="page" w:x="1001" w:y="36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15.5 - 16.5%.</w:t>
      </w:r>
    </w:p>
    <w:p>
      <w:pPr>
        <w:pStyle w:val="Normal"/>
        <w:framePr w:w="327" w:hAnchor="page" w:vAnchor="page" w:x="640" w:y="33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06" w:hAnchor="page" w:vAnchor="page" w:x="988" w:y="33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adjusted EBITDA margin in a range of 16.5 - 17%, which increased from the previous guidance range of</w:t>
      </w:r>
    </w:p>
    <w:p>
      <w:pPr>
        <w:pStyle w:val="Normal"/>
        <w:framePr w:w="928" w:hAnchor="page" w:vAnchor="page" w:x="1001" w:y="29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billion.</w:t>
      </w:r>
    </w:p>
    <w:p>
      <w:pPr>
        <w:pStyle w:val="Normal"/>
        <w:framePr w:w="327" w:hAnchor="page" w:vAnchor="page" w:x="640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10" w:hAnchor="page" w:vAnchor="page" w:x="988" w:y="26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revenue in a range of $7.6 - 7.8 billion, which increased from the previous guidance range of $7.2 - 7.6</w:t>
      </w:r>
    </w:p>
    <w:p>
      <w:pPr>
        <w:pStyle w:val="Normal"/>
        <w:framePr w:w="4937" w:hAnchor="page" w:vAnchor="page" w:x="280" w:y="21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issued on February 22, 2024 are as follows:</w:t>
      </w:r>
    </w:p>
    <w:p>
      <w:pPr>
        <w:pStyle w:val="Normal"/>
        <w:framePr w:w="2253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</w:t>
      </w:r>
    </w:p>
    <w:p>
      <w:pPr>
        <w:pStyle w:val="Normal"/>
        <w:framePr w:w="11506" w:hAnchor="page" w:vAnchor="page" w:x="1713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 full-year financial guidance for 2024 can be found in the table below. Updates to the previous guidance</w:t>
      </w:r>
    </w:p>
    <w:p>
      <w:pPr>
        <w:pStyle w:val="Normal"/>
        <w:framePr w:w="4156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 Full-Year Financial Guidance</w:t>
      </w:r>
    </w:p>
    <w:p>
      <w:pPr>
        <w:pStyle w:val="Normal"/>
        <w:framePr w:w="263" w:hAnchor="page" w:vAnchor="page" w:x="3839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7pt;margin-top:1pt;z-index:-167746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3pt;margin-top:572.25pt;z-index:-16774604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13pt;margin-top:712.6pt;z-index:-167746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13pt;margin-top:713.35pt;z-index:-167745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96.25pt;margin-top:712.6pt;z-index:-167745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13pt;margin-top:712.6pt;z-index:-167745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14pt;margin-top:2pt;z-index:-1677458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13pt;margin-top:309.5pt;z-index:-16774580;width:288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07.25pt;margin-top:309.5pt;z-index:-16774576;width:290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13pt;margin-top:371.8pt;z-index:-16774572;width:584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13pt;margin-top:556.45pt;z-index:-16774568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13pt;margin-top:553.45pt;z-index:-16774564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95.5pt;margin-top:553.45pt;z-index:-16774560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13pt;margin-top:547.45pt;z-index:-16774556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595.5pt;margin-top:547.45pt;z-index:-16774552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13pt;margin-top:535.45pt;z-index:-16774548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95.5pt;margin-top:535.45pt;z-index:-16774544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13pt;margin-top:521.2pt;z-index:-167745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95.5pt;margin-top:521.2pt;z-index:-16774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13pt;margin-top:506.15pt;z-index:-1677453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95.5pt;margin-top:506.15pt;z-index:-1677452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13pt;margin-top:491.9pt;z-index:-16774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595.5pt;margin-top:491.9pt;z-index:-16774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13pt;margin-top:476.9pt;z-index:-1677451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95.5pt;margin-top:476.9pt;z-index:-1677451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13pt;margin-top:462.65pt;z-index:-167745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595.5pt;margin-top:462.65pt;z-index:-16774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13pt;margin-top:447.6pt;z-index:-1677450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95.5pt;margin-top:447.6pt;z-index:-1677449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13pt;margin-top:433.35pt;z-index:-16774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595.5pt;margin-top:433.35pt;z-index:-16774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595.5pt;margin-top:418.35pt;z-index:-1677448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13pt;margin-top:418.35pt;z-index:-1677448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13pt;margin-top:406.35pt;z-index:-16774476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95.5pt;margin-top:406.35pt;z-index:-16774472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13pt;margin-top:392.1pt;z-index:-16774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595.5pt;margin-top:392.1pt;z-index:-167744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451.35pt;margin-top:386.8pt;z-index:-16774460;width:1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95.5pt;margin-top:386.8pt;z-index:-16774456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307.25pt;margin-top:386.8pt;z-index:-16774452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299.75pt;margin-top:386.8pt;z-index:-1677444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155.6pt;margin-top:386.8pt;z-index:-16774444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13pt;margin-top:386.8pt;z-index:-16774440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13pt;margin-top:386.8pt;z-index:-16774436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13pt;margin-top:371.8pt;z-index:-167744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95.5pt;margin-top:371.8pt;z-index:-167744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13pt;margin-top:356.8pt;z-index:-16774424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13pt;margin-top:371.8pt;z-index:-1677442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307.25pt;margin-top:356.8pt;z-index:-16774416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595.5pt;margin-top:344.05pt;z-index:-1677441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299.75pt;margin-top:356.8pt;z-index:-167744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307.25pt;margin-top:344.05pt;z-index:-1677440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13pt;margin-top:356.8pt;z-index:-16774400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13pt;margin-top:344.05pt;z-index:-1677439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299.75pt;margin-top:344.05pt;z-index:-1677439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595.5pt;margin-top:338.05pt;z-index:-1677438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07.25pt;margin-top:338.05pt;z-index:-1677438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13pt;margin-top:338.05pt;z-index:-1677438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299.75pt;margin-top:338.05pt;z-index:-16774376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95.5pt;margin-top:324.5pt;z-index:-1677437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307.25pt;margin-top:324.5pt;z-index:-1677436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13pt;margin-top:324.5pt;z-index:-1677436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299.75pt;margin-top:324.5pt;z-index:-1677436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307.25pt;margin-top:309.5pt;z-index:-16774356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307.25pt;margin-top:324.5pt;z-index:-16774352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95.5pt;margin-top:309.5pt;z-index:-167743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299.75pt;margin-top:309.5pt;z-index:-167743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307.25pt;margin-top:309.5pt;z-index:-1677434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13pt;margin-top:324.5pt;z-index:-16774336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13pt;margin-top:309.5pt;z-index:-167743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299.75pt;margin-top:309.5pt;z-index:-167743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13pt;margin-top:309.5pt;z-index:-16774324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13pt;margin-top:279.5pt;z-index:-1677432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13pt;margin-top:294.5pt;z-index:-16774316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13pt;margin-top:279.5pt;z-index:-167743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95.5pt;margin-top:279.5pt;z-index:-167743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94pt;margin-top:279.5pt;z-index:-1677430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456.65pt;margin-top:279.5pt;z-index:-16774300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51.35pt;margin-top:279.5pt;z-index:-16774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449.85pt;margin-top:279.5pt;z-index:-1677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312.5pt;margin-top:279.5pt;z-index:-16774288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307.25pt;margin-top:279.5pt;z-index:-16774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305.75pt;margin-top:279.5pt;z-index:-16774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301.25pt;margin-top:279.5pt;z-index:-167742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299.75pt;margin-top:279.5pt;z-index:-16774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298.25pt;margin-top:279.5pt;z-index:-1677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160.9pt;margin-top:279.5pt;z-index:-16774264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155.6pt;margin-top:279.5pt;z-index:-16774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154.1pt;margin-top:279.5pt;z-index:-16774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17.5pt;margin-top:279.5pt;z-index:-16774252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13pt;margin-top:279.5pt;z-index:-167742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</w:p>
    <w:p>
      <w:pPr>
        <w:pStyle w:val="Normal"/>
        <w:framePr w:w="1778" w:hAnchor="page" w:vAnchor="page" w:x="5459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24</w:t>
      </w:r>
    </w:p>
    <w:p>
      <w:pPr>
        <w:pStyle w:val="Normal"/>
        <w:framePr w:w="9399" w:hAnchor="page" w:vAnchor="page" w:x="280" w:y="31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9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77" w:hAnchor="page" w:vAnchor="page" w:x="280" w:y="21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The call will begin at 1:30 p.m. London time (8:30 a.m. New York time). Webcast access and an accompanying</w:t>
      </w:r>
    </w:p>
    <w:p>
      <w:pPr>
        <w:pStyle w:val="Normal"/>
        <w:framePr w:w="13082" w:hAnchor="page" w:vAnchor="page" w:x="280" w:y="19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Company  will  host  a  teleconference  on  Thursday,  July  25,  2024  to  discuss  the  second  quarter  2024  financial</w:t>
      </w:r>
    </w:p>
    <w:p>
      <w:pPr>
        <w:pStyle w:val="Normal"/>
        <w:framePr w:w="2000" w:hAnchor="page" w:vAnchor="page" w:x="280" w:y="14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7pt;margin-top:1pt;z-index:-167742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13pt;margin-top:517.45pt;z-index:-167742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13pt;margin-top:518.2pt;z-index:-16774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596.25pt;margin-top:517.45pt;z-index:-167742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13pt;margin-top:517.45pt;z-index:-16774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14pt;margin-top:2pt;z-index:-1677422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155.5pt;margin-top:131.6pt;z-index:-16774220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</w:p>
    <w:p>
      <w:pPr>
        <w:pStyle w:val="Normal"/>
        <w:framePr w:w="1778" w:hAnchor="page" w:vAnchor="page" w:x="5459" w:y="144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4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24</w:t>
      </w:r>
    </w:p>
    <w:p>
      <w:pPr>
        <w:pStyle w:val="Normal"/>
        <w:framePr w:w="7261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existing and future laws and regulations, including those related to</w:t>
      </w:r>
    </w:p>
    <w:p>
      <w:pPr>
        <w:pStyle w:val="Normal"/>
        <w:framePr w:w="14240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manufacturing facilities; potential liabilities inherent in the industries in which we operate or have operated; our failure to comply with</w:t>
      </w:r>
    </w:p>
    <w:p>
      <w:pPr>
        <w:pStyle w:val="Normal"/>
        <w:framePr w:w="14242" w:hAnchor="page" w:vAnchor="page" w:x="28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maritime  employees  and  assets;  any  delays  and   cost  overruns  of  new  capital  asset  construction  projects  for  vessels   and</w:t>
      </w:r>
    </w:p>
    <w:p>
      <w:pPr>
        <w:pStyle w:val="Normal"/>
        <w:framePr w:w="14242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suppliers or joint venture partners, including as a result of cyber-attacks; risks of pirates and maritime conflicts endangering our</w:t>
      </w:r>
    </w:p>
    <w:p>
      <w:pPr>
        <w:pStyle w:val="Normal"/>
        <w:framePr w:w="14245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subcontractors, suppliers, and our joint venture partners; a failure or breach of our IT infrastructure or that of our subcontractors,</w:t>
      </w:r>
    </w:p>
    <w:p>
      <w:pPr>
        <w:pStyle w:val="Normal"/>
        <w:framePr w:w="14248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  New  Energy  business;  the  risks  caused  by  fixed-price  contracts;  our  failure  to  timely  deliver  our  backlog;  our  reliance  on</w:t>
      </w:r>
    </w:p>
    <w:p>
      <w:pPr>
        <w:pStyle w:val="Normal"/>
        <w:framePr w:w="14246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additional costs or risks from increasing scrutiny and expectations regarding ESG matters; uncertainties related to our investments</w:t>
      </w:r>
    </w:p>
    <w:p>
      <w:pPr>
        <w:pStyle w:val="Normal"/>
        <w:framePr w:w="14248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terms  of  the  agreements  governing  our  existing  indebtedness;  the  risks  caused  by  our  acquisition  and  divestiture  activities;</w:t>
      </w:r>
    </w:p>
    <w:p>
      <w:pPr>
        <w:pStyle w:val="Normal"/>
        <w:framePr w:w="14239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clearing agency for our shares; the impact of our existing and future indebtedness and the restrictions on our operations by</w:t>
      </w:r>
    </w:p>
    <w:p>
      <w:pPr>
        <w:pStyle w:val="Normal"/>
        <w:framePr w:w="14252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regulatory, economic, and social conditions of the countries in which we conduct business; the refusal of DTC to act as depository</w:t>
      </w:r>
    </w:p>
    <w:p>
      <w:pPr>
        <w:pStyle w:val="Normal"/>
        <w:framePr w:w="14252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contracts,  customers  or  alliances  and  unfavorable  credit  and  commercial  terms  of  certain  contracts;  disruptions  in  the  political,</w:t>
      </w:r>
    </w:p>
    <w:p>
      <w:pPr>
        <w:pStyle w:val="Normal"/>
        <w:framePr w:w="14241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property  related  thereto,  including  new  technologies  and  services  for  our  New  Energy  business;  the  cumulative  loss  of  major</w:t>
      </w:r>
    </w:p>
    <w:p>
      <w:pPr>
        <w:pStyle w:val="Normal"/>
        <w:framePr w:w="14241" w:hAnchor="page" w:vAnchor="page" w:x="280" w:y="10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ongoing  industry  consolidation;  our  inability  to  develop,  implement,  and  protect  new  technologies  and  services  and  intellectual</w:t>
      </w:r>
    </w:p>
    <w:p>
      <w:pPr>
        <w:pStyle w:val="Normal"/>
        <w:framePr w:w="14249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 and price of oil and natural gas; competition and unanticipated changes relating to competitive factors in our industry, including</w:t>
      </w:r>
    </w:p>
    <w:p>
      <w:pPr>
        <w:pStyle w:val="Normal"/>
        <w:framePr w:w="14247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materially from our historical experience and our present expectations or projections, including unpredictable trends in the demand</w:t>
      </w:r>
    </w:p>
    <w:p>
      <w:pPr>
        <w:pStyle w:val="Normal"/>
        <w:framePr w:w="14248" w:hAnchor="page" w:vAnchor="page" w:x="280" w:y="96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uncertainties  (some  of  which  are  significant  or  beyond  our  control)  and  assumptions  that  could  cause  actual  results  to  differ</w:t>
      </w:r>
    </w:p>
    <w:p>
      <w:pPr>
        <w:pStyle w:val="Normal"/>
        <w:framePr w:w="14239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future  developments  affecting  us   will  be  those  that  we  anticipate.   All  of  our  forward-looking  statements   involve  risks  and</w:t>
      </w:r>
    </w:p>
    <w:p>
      <w:pPr>
        <w:pStyle w:val="Normal"/>
        <w:framePr w:w="14248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While management believes these forward-looking statements are reasonable as and when made, there can be no assurance that</w:t>
      </w:r>
    </w:p>
    <w:p>
      <w:pPr>
        <w:pStyle w:val="Normal"/>
        <w:framePr w:w="14242" w:hAnchor="page" w:vAnchor="page" w:x="280" w:y="8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expectations, beliefs, and assumptions concerning future developments and business conditions and their potential effect on us.</w:t>
      </w:r>
    </w:p>
    <w:p>
      <w:pPr>
        <w:pStyle w:val="Normal"/>
        <w:framePr w:w="14240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however, does not mean that the statements are not forward-looking. These forward-looking statements are based on our current</w:t>
      </w:r>
    </w:p>
    <w:p>
      <w:pPr>
        <w:pStyle w:val="Normal"/>
        <w:framePr w:w="14250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“likely,” “predicated,” “estimate,” “outlook,” and similar expressions, including the negative thereof. The absence of these words,</w:t>
      </w:r>
    </w:p>
    <w:p>
      <w:pPr>
        <w:pStyle w:val="Normal"/>
        <w:framePr w:w="14248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“commit,” “guidance,” “confident,” “believe,” “expect,” “anticipate,” “plan,” “intend,” “foresee,” “should,” “would,” “could,” “may,” “will,”</w:t>
      </w:r>
    </w:p>
    <w:p>
      <w:pPr>
        <w:pStyle w:val="Normal"/>
        <w:framePr w:w="14251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flows, or other aspects of our operations or operating results. Forward-looking statements are often identified by words such as</w:t>
      </w:r>
    </w:p>
    <w:p>
      <w:pPr>
        <w:pStyle w:val="Normal"/>
        <w:framePr w:w="14251" w:hAnchor="page" w:vAnchor="page" w:x="280" w:y="7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to future events, market growth, and recovery, growth of our New Energy business and anticipated revenues, earnings, cash</w:t>
      </w:r>
    </w:p>
    <w:p>
      <w:pPr>
        <w:pStyle w:val="Normal"/>
        <w:framePr w:w="14250" w:hAnchor="page" w:vAnchor="page" w:x="280" w:y="7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2661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X (formerly Twitter)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21,000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5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7pt;margin-top:1pt;z-index:-16774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13pt;margin-top:743.35pt;z-index:-16774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13pt;margin-top:744.1pt;z-index:-16774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96.25pt;margin-top:743.35pt;z-index:-16774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13pt;margin-top:743.35pt;z-index:-16774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14pt;margin-top:2pt;z-index:-1677419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</w:p>
    <w:p>
      <w:pPr>
        <w:pStyle w:val="Normal"/>
        <w:framePr w:w="1778" w:hAnchor="page" w:vAnchor="page" w:x="5459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24</w:t>
      </w:r>
    </w:p>
    <w:p>
      <w:pPr>
        <w:pStyle w:val="Normal"/>
        <w:framePr w:w="2367" w:hAnchor="page" w:vAnchor="page" w:x="1051" w:y="85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James Davis</w:t>
      </w:r>
    </w:p>
    <w:p>
      <w:pPr>
        <w:pStyle w:val="Normal"/>
        <w:framePr w:w="2510" w:hAnchor="page" w:vAnchor="page" w:x="1051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3148" w:hAnchor="page" w:vAnchor="page" w:x="1051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Investor Relations</w:t>
      </w:r>
    </w:p>
    <w:p>
      <w:pPr>
        <w:pStyle w:val="Normal"/>
        <w:framePr w:w="1627" w:hAnchor="page" w:vAnchor="page" w:x="1051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2865" w:hAnchor="page" w:vAnchor="page" w:x="1051" w:y="74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Matt Seinsheimer</w:t>
      </w:r>
    </w:p>
    <w:p>
      <w:pPr>
        <w:pStyle w:val="Normal"/>
        <w:framePr w:w="2510" w:hAnchor="page" w:vAnchor="page" w:x="1051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812" w:hAnchor="page" w:vAnchor="page" w:x="1051" w:y="70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Development</w:t>
      </w:r>
    </w:p>
    <w:p>
      <w:pPr>
        <w:pStyle w:val="Normal"/>
        <w:framePr w:w="2232" w:hAnchor="page" w:vAnchor="page" w:x="5780" w:y="69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David Willis</w:t>
      </w:r>
    </w:p>
    <w:p>
      <w:pPr>
        <w:pStyle w:val="Normal"/>
        <w:framePr w:w="5108" w:hAnchor="page" w:vAnchor="page" w:x="1051" w:y="67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 and</w:t>
      </w:r>
    </w:p>
    <w:p>
      <w:pPr>
        <w:pStyle w:val="Normal"/>
        <w:framePr w:w="2577" w:hAnchor="page" w:vAnchor="page" w:x="5780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7841 492988</w:t>
      </w:r>
    </w:p>
    <w:p>
      <w:pPr>
        <w:pStyle w:val="Normal"/>
        <w:framePr w:w="2125" w:hAnchor="page" w:vAnchor="page" w:x="1051" w:y="65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3821" w:hAnchor="page" w:vAnchor="page" w:x="5780" w:y="6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Public Relations</w:t>
      </w:r>
    </w:p>
    <w:p>
      <w:pPr>
        <w:pStyle w:val="Normal"/>
        <w:framePr w:w="1493" w:hAnchor="page" w:vAnchor="page" w:x="5780" w:y="63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David Willis</w:t>
      </w:r>
    </w:p>
    <w:p>
      <w:pPr>
        <w:pStyle w:val="Normal"/>
        <w:framePr w:w="2260" w:hAnchor="page" w:vAnchor="page" w:x="1051" w:y="60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5780" w:y="58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1051" w:y="5557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38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7234" w:hAnchor="page" w:vAnchor="page" w:x="280" w:y="30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subsequently filed with the Securities and Exchange Commission.</w:t>
      </w:r>
    </w:p>
    <w:p>
      <w:pPr>
        <w:pStyle w:val="Normal"/>
        <w:framePr w:w="14245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1A,  “Risk  Factors”  of  our  Annual  Report  on  Form  10-K  for  the  fiscal  year  ended  December  31,  2023  and  our  other  reports</w:t>
      </w:r>
    </w:p>
    <w:p>
      <w:pPr>
        <w:pStyle w:val="Normal"/>
        <w:framePr w:w="14240" w:hAnchor="page" w:vAnchor="page" w:x="280" w:y="26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plan commitments; our inability to obtain sufficient bonding capacity for certain contracts, and other risks as discussed in Part I, Item</w:t>
      </w:r>
    </w:p>
    <w:p>
      <w:pPr>
        <w:pStyle w:val="Normal"/>
        <w:framePr w:w="14242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weather, and other climatic conditions; unfavorable currency exchange rates; risk in connection with our defined benefit pension</w:t>
      </w:r>
    </w:p>
    <w:p>
      <w:pPr>
        <w:pStyle w:val="Normal"/>
        <w:framePr w:w="14247" w:hAnchor="page" w:vAnchor="page" w:x="280" w:y="21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any unfavorable findings by relevant tax authorities; potential departure of our key managers and employees; adverse seasonal,</w:t>
      </w:r>
    </w:p>
    <w:p>
      <w:pPr>
        <w:pStyle w:val="Normal"/>
        <w:framePr w:w="14246" w:hAnchor="page" w:vAnchor="page" w:x="280" w:y="19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repurchases as an English public limited company; uninsured claims and litigation against us; tax laws, treaties and regulations and</w:t>
      </w:r>
    </w:p>
    <w:p>
      <w:pPr>
        <w:pStyle w:val="Normal"/>
        <w:framePr w:w="14253" w:hAnchor="page" w:vAnchor="page" w:x="280" w:y="1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bribery and corruption, taxation, privacy, data protection and data security; the additional restrictions on dividend payouts or share</w:t>
      </w:r>
    </w:p>
    <w:p>
      <w:pPr>
        <w:pStyle w:val="Normal"/>
        <w:framePr w:w="14247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environmental protection, climate change, health and safety, labor and employment, import/export controls, currency exchange,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7pt;margin-top:1pt;z-index:-167741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13pt;margin-top:530.95pt;z-index:-16774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13pt;margin-top:531.7pt;z-index:-167741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96.25pt;margin-top:530.95pt;z-index:-167741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13pt;margin-top:530.95pt;z-index:-167741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14pt;margin-top:2pt;z-index:-1677417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85.15pt;margin-top:382.3pt;z-index:-16774168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85.15pt;margin-top:439.35pt;z-index:-16774164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321.6pt;margin-top:359.05pt;z-index:-16774160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</w:p>
    <w:p>
      <w:pPr>
        <w:pStyle w:val="Normal"/>
        <w:framePr w:w="1778" w:hAnchor="page" w:vAnchor="page" w:x="5459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24</w:t>
      </w:r>
    </w:p>
    <w:p>
      <w:pPr>
        <w:pStyle w:val="Normal"/>
        <w:framePr w:w="3169" w:hAnchor="page" w:vAnchor="page" w:x="390" w:y="105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dividends declared per share</w:t>
      </w:r>
    </w:p>
    <w:p>
      <w:pPr>
        <w:pStyle w:val="Normal"/>
        <w:framePr w:w="288" w:hAnchor="page" w:vAnchor="page" w:x="4083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185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0.05 </w:t>
      </w:r>
    </w:p>
    <w:p>
      <w:pPr>
        <w:pStyle w:val="Normal"/>
        <w:framePr w:w="288" w:hAnchor="page" w:vAnchor="page" w:x="5675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776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0.05 </w:t>
      </w:r>
    </w:p>
    <w:p>
      <w:pPr>
        <w:pStyle w:val="Normal"/>
        <w:framePr w:w="288" w:hAnchor="page" w:vAnchor="page" w:x="7251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32" w:hAnchor="page" w:vAnchor="page" w:x="8472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8842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944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0.10 </w:t>
      </w:r>
    </w:p>
    <w:p>
      <w:pPr>
        <w:pStyle w:val="Normal"/>
        <w:framePr w:w="288" w:hAnchor="page" w:vAnchor="page" w:x="10419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32" w:hAnchor="page" w:vAnchor="page" w:x="11640" w:y="106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64" w:hAnchor="page" w:vAnchor="page" w:x="615" w:y="101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672" w:hAnchor="page" w:vAnchor="page" w:x="5105" w:y="101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6696" w:y="101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446.3 </w:t>
      </w:r>
    </w:p>
    <w:p>
      <w:pPr>
        <w:pStyle w:val="Normal"/>
        <w:framePr w:w="672" w:hAnchor="page" w:vAnchor="page" w:x="8272" w:y="101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9864" w:y="101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443.2 </w:t>
      </w:r>
    </w:p>
    <w:p>
      <w:pPr>
        <w:pStyle w:val="Normal"/>
        <w:framePr w:w="672" w:hAnchor="page" w:vAnchor="page" w:x="11440" w:y="101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696" w:hAnchor="page" w:vAnchor="page" w:x="615" w:y="99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672" w:hAnchor="page" w:vAnchor="page" w:x="5105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430.2 </w:t>
      </w:r>
    </w:p>
    <w:p>
      <w:pPr>
        <w:pStyle w:val="Normal"/>
        <w:framePr w:w="672" w:hAnchor="page" w:vAnchor="page" w:x="6696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433.6 </w:t>
      </w:r>
    </w:p>
    <w:p>
      <w:pPr>
        <w:pStyle w:val="Normal"/>
        <w:framePr w:w="672" w:hAnchor="page" w:vAnchor="page" w:x="8272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9864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431.9 </w:t>
      </w:r>
    </w:p>
    <w:p>
      <w:pPr>
        <w:pStyle w:val="Normal"/>
        <w:framePr w:w="672" w:hAnchor="page" w:vAnchor="page" w:x="11440" w:y="99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3482" w:hAnchor="page" w:vAnchor="page" w:x="390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Weighted average shares outstanding:</w:t>
      </w:r>
    </w:p>
    <w:p>
      <w:pPr>
        <w:pStyle w:val="Normal"/>
        <w:framePr w:w="864" w:hAnchor="page" w:vAnchor="page" w:x="615" w:y="92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288" w:hAnchor="page" w:vAnchor="page" w:x="4083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185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0.42 </w:t>
      </w:r>
    </w:p>
    <w:p>
      <w:pPr>
        <w:pStyle w:val="Normal"/>
        <w:framePr w:w="288" w:hAnchor="page" w:vAnchor="page" w:x="5675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776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0.35 </w:t>
      </w:r>
    </w:p>
    <w:p>
      <w:pPr>
        <w:pStyle w:val="Normal"/>
        <w:framePr w:w="288" w:hAnchor="page" w:vAnchor="page" w:x="7251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8286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288" w:hAnchor="page" w:vAnchor="page" w:x="8842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944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0.78 </w:t>
      </w:r>
    </w:p>
    <w:p>
      <w:pPr>
        <w:pStyle w:val="Normal"/>
        <w:framePr w:w="288" w:hAnchor="page" w:vAnchor="page" w:x="10419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453" w:y="92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696" w:hAnchor="page" w:vAnchor="page" w:x="615" w:y="89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288" w:hAnchor="page" w:vAnchor="page" w:x="4083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185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0.43 </w:t>
      </w:r>
    </w:p>
    <w:p>
      <w:pPr>
        <w:pStyle w:val="Normal"/>
        <w:framePr w:w="288" w:hAnchor="page" w:vAnchor="page" w:x="5675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776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0.36 </w:t>
      </w:r>
    </w:p>
    <w:p>
      <w:pPr>
        <w:pStyle w:val="Normal"/>
        <w:framePr w:w="288" w:hAnchor="page" w:vAnchor="page" w:x="7251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8286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288" w:hAnchor="page" w:vAnchor="page" w:x="8842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944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0.80 </w:t>
      </w:r>
    </w:p>
    <w:p>
      <w:pPr>
        <w:pStyle w:val="Normal"/>
        <w:framePr w:w="288" w:hAnchor="page" w:vAnchor="page" w:x="10419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453" w:y="89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1684" w:hAnchor="page" w:vAnchor="page" w:x="390" w:y="87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TechnipFMC plc</w:t>
      </w:r>
    </w:p>
    <w:p>
      <w:pPr>
        <w:pStyle w:val="Normal"/>
        <w:framePr w:w="3620" w:hAnchor="page" w:vAnchor="page" w:x="390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(loss) per share attributable to</w:t>
      </w:r>
    </w:p>
    <w:p>
      <w:pPr>
        <w:pStyle w:val="Normal"/>
        <w:framePr w:w="4732" w:hAnchor="page" w:vAnchor="page" w:x="390" w:y="79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Net income (loss) attributable to TechnipFMC plc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105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288" w:hAnchor="page" w:vAnchor="page" w:x="5675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696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157.1 </w:t>
      </w:r>
    </w:p>
    <w:p>
      <w:pPr>
        <w:pStyle w:val="Normal"/>
        <w:framePr w:w="288" w:hAnchor="page" w:vAnchor="page" w:x="7251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8286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288" w:hAnchor="page" w:vAnchor="page" w:x="8842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864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343.6 </w:t>
      </w:r>
    </w:p>
    <w:p>
      <w:pPr>
        <w:pStyle w:val="Normal"/>
        <w:framePr w:w="288" w:hAnchor="page" w:vAnchor="page" w:x="10419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453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936" w:hAnchor="page" w:vAnchor="page" w:x="390" w:y="752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interests</w:t>
      </w:r>
    </w:p>
    <w:p>
      <w:pPr>
        <w:pStyle w:val="Normal"/>
        <w:framePr w:w="480" w:hAnchor="page" w:vAnchor="page" w:x="5265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60" w:hAnchor="page" w:vAnchor="page" w:x="6789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480" w:hAnchor="page" w:vAnchor="page" w:x="8432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60" w:hAnchor="page" w:vAnchor="page" w:x="9957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(3.6)</w:t>
      </w:r>
    </w:p>
    <w:p>
      <w:pPr>
        <w:pStyle w:val="Normal"/>
        <w:framePr w:w="480" w:hAnchor="page" w:vAnchor="page" w:x="11600" w:y="75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058" w:hAnchor="page" w:vAnchor="page" w:x="390" w:y="734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(Income) loss attributable to non-controlling</w:t>
      </w:r>
    </w:p>
    <w:p>
      <w:pPr>
        <w:pStyle w:val="Normal"/>
        <w:framePr w:w="1753" w:hAnchor="page" w:vAnchor="page" w:x="390" w:y="71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(loss)</w:t>
      </w:r>
    </w:p>
    <w:p>
      <w:pPr>
        <w:pStyle w:val="Normal"/>
        <w:framePr w:w="672" w:hAnchor="page" w:vAnchor="page" w:x="5105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186.3 </w:t>
      </w:r>
    </w:p>
    <w:p>
      <w:pPr>
        <w:pStyle w:val="Normal"/>
        <w:framePr w:w="672" w:hAnchor="page" w:vAnchor="page" w:x="6696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656" w:hAnchor="page" w:vAnchor="page" w:x="8286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672" w:hAnchor="page" w:vAnchor="page" w:x="9864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347.2 </w:t>
      </w:r>
    </w:p>
    <w:p>
      <w:pPr>
        <w:pStyle w:val="Normal"/>
        <w:framePr w:w="656" w:hAnchor="page" w:vAnchor="page" w:x="11453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2540" w:hAnchor="page" w:vAnchor="page" w:x="390" w:y="663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for income taxes</w:t>
      </w:r>
    </w:p>
    <w:p>
      <w:pPr>
        <w:pStyle w:val="Normal"/>
        <w:framePr w:w="576" w:hAnchor="page" w:vAnchor="page" w:x="5185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59.2 </w:t>
      </w:r>
    </w:p>
    <w:p>
      <w:pPr>
        <w:pStyle w:val="Normal"/>
        <w:framePr w:w="576" w:hAnchor="page" w:vAnchor="page" w:x="6776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576" w:hAnchor="page" w:vAnchor="page" w:x="8352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43.3 </w:t>
      </w:r>
    </w:p>
    <w:p>
      <w:pPr>
        <w:pStyle w:val="Normal"/>
        <w:framePr w:w="672" w:hAnchor="page" w:vAnchor="page" w:x="9864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108.9 </w:t>
      </w:r>
    </w:p>
    <w:p>
      <w:pPr>
        <w:pStyle w:val="Normal"/>
        <w:framePr w:w="576" w:hAnchor="page" w:vAnchor="page" w:x="11520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80.7 </w:t>
      </w:r>
    </w:p>
    <w:p>
      <w:pPr>
        <w:pStyle w:val="Normal"/>
        <w:framePr w:w="3193" w:hAnchor="page" w:vAnchor="page" w:x="390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before income taxes</w:t>
      </w:r>
    </w:p>
    <w:p>
      <w:pPr>
        <w:pStyle w:val="Normal"/>
        <w:framePr w:w="672" w:hAnchor="page" w:vAnchor="page" w:x="5105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245.5 </w:t>
      </w:r>
    </w:p>
    <w:p>
      <w:pPr>
        <w:pStyle w:val="Normal"/>
        <w:framePr w:w="672" w:hAnchor="page" w:vAnchor="page" w:x="6696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210.6 </w:t>
      </w:r>
    </w:p>
    <w:p>
      <w:pPr>
        <w:pStyle w:val="Normal"/>
        <w:framePr w:w="656" w:hAnchor="page" w:vAnchor="page" w:x="8286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(53.0)</w:t>
      </w:r>
    </w:p>
    <w:p>
      <w:pPr>
        <w:pStyle w:val="Normal"/>
        <w:framePr w:w="672" w:hAnchor="page" w:vAnchor="page" w:x="9864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456.1 </w:t>
      </w:r>
    </w:p>
    <w:p>
      <w:pPr>
        <w:pStyle w:val="Normal"/>
        <w:framePr w:w="560" w:hAnchor="page" w:vAnchor="page" w:x="11533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1969" w:hAnchor="page" w:vAnchor="page" w:x="390" w:y="59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656" w:hAnchor="page" w:vAnchor="page" w:x="5118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(21.4)</w:t>
      </w:r>
    </w:p>
    <w:p>
      <w:pPr>
        <w:pStyle w:val="Normal"/>
        <w:framePr w:w="656" w:hAnchor="page" w:vAnchor="page" w:x="6709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(12.7)</w:t>
      </w:r>
    </w:p>
    <w:p>
      <w:pPr>
        <w:pStyle w:val="Normal"/>
        <w:framePr w:w="656" w:hAnchor="page" w:vAnchor="page" w:x="8286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(30.3)</w:t>
      </w:r>
    </w:p>
    <w:p>
      <w:pPr>
        <w:pStyle w:val="Normal"/>
        <w:framePr w:w="656" w:hAnchor="page" w:vAnchor="page" w:x="9877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(34.1)</w:t>
      </w:r>
    </w:p>
    <w:p>
      <w:pPr>
        <w:pStyle w:val="Normal"/>
        <w:framePr w:w="656" w:hAnchor="page" w:vAnchor="page" w:x="11453" w:y="59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(49.0)</w:t>
      </w:r>
    </w:p>
    <w:p>
      <w:pPr>
        <w:pStyle w:val="Normal"/>
        <w:framePr w:w="1351" w:hAnchor="page" w:vAnchor="page" w:x="390" w:y="57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taxes</w:t>
      </w:r>
    </w:p>
    <w:p>
      <w:pPr>
        <w:pStyle w:val="Normal"/>
        <w:framePr w:w="672" w:hAnchor="page" w:vAnchor="page" w:x="5105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266.9 </w:t>
      </w:r>
    </w:p>
    <w:p>
      <w:pPr>
        <w:pStyle w:val="Normal"/>
        <w:framePr w:w="672" w:hAnchor="page" w:vAnchor="page" w:x="6696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223.3 </w:t>
      </w:r>
    </w:p>
    <w:p>
      <w:pPr>
        <w:pStyle w:val="Normal"/>
        <w:framePr w:w="656" w:hAnchor="page" w:vAnchor="page" w:x="8286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(22.7)</w:t>
      </w:r>
    </w:p>
    <w:p>
      <w:pPr>
        <w:pStyle w:val="Normal"/>
        <w:framePr w:w="672" w:hAnchor="page" w:vAnchor="page" w:x="9864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490.2 </w:t>
      </w:r>
    </w:p>
    <w:p>
      <w:pPr>
        <w:pStyle w:val="Normal"/>
        <w:framePr w:w="576" w:hAnchor="page" w:vAnchor="page" w:x="11520" w:y="57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41.2 </w:t>
      </w:r>
    </w:p>
    <w:p>
      <w:pPr>
        <w:pStyle w:val="Normal"/>
        <w:framePr w:w="4130" w:hAnchor="page" w:vAnchor="page" w:x="390" w:y="55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before net interest expense and</w:t>
      </w:r>
    </w:p>
    <w:p>
      <w:pPr>
        <w:pStyle w:val="Normal"/>
        <w:framePr w:w="949" w:hAnchor="page" w:vAnchor="page" w:x="390" w:y="51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business</w:t>
      </w:r>
    </w:p>
    <w:p>
      <w:pPr>
        <w:pStyle w:val="Normal"/>
        <w:framePr w:w="432" w:hAnchor="page" w:vAnchor="page" w:x="5305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6776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2" w:hAnchor="page" w:vAnchor="page" w:x="8472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9944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2" w:hAnchor="page" w:vAnchor="page" w:x="11640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005" w:hAnchor="page" w:vAnchor="page" w:x="390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</w:t>
      </w:r>
    </w:p>
    <w:p>
      <w:pPr>
        <w:pStyle w:val="Normal"/>
        <w:framePr w:w="2037" w:hAnchor="page" w:vAnchor="page" w:x="390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from equity affiliates</w:t>
      </w:r>
    </w:p>
    <w:p>
      <w:pPr>
        <w:pStyle w:val="Normal"/>
        <w:framePr w:w="656" w:hAnchor="page" w:vAnchor="page" w:x="5118" w:y="4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(41.5)</w:t>
      </w:r>
    </w:p>
    <w:p>
      <w:pPr>
        <w:pStyle w:val="Normal"/>
        <w:framePr w:w="656" w:hAnchor="page" w:vAnchor="page" w:x="6709" w:y="4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(10.9)</w:t>
      </w:r>
    </w:p>
    <w:p>
      <w:pPr>
        <w:pStyle w:val="Normal"/>
        <w:framePr w:w="752" w:hAnchor="page" w:vAnchor="page" w:x="8206" w:y="4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(181.2)</w:t>
      </w:r>
    </w:p>
    <w:p>
      <w:pPr>
        <w:pStyle w:val="Normal"/>
        <w:framePr w:w="656" w:hAnchor="page" w:vAnchor="page" w:x="9877" w:y="4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(52.4)</w:t>
      </w:r>
    </w:p>
    <w:p>
      <w:pPr>
        <w:pStyle w:val="Normal"/>
        <w:framePr w:w="752" w:hAnchor="page" w:vAnchor="page" w:x="11373" w:y="47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(168.3)</w:t>
      </w:r>
    </w:p>
    <w:p>
      <w:pPr>
        <w:pStyle w:val="Normal"/>
        <w:framePr w:w="4226" w:hAnchor="page" w:vAnchor="page" w:x="390" w:y="45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income (expense), net including income</w:t>
      </w:r>
    </w:p>
    <w:p>
      <w:pPr>
        <w:pStyle w:val="Normal"/>
        <w:framePr w:w="672" w:hAnchor="page" w:vAnchor="page" w:x="5105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308.4 </w:t>
      </w:r>
    </w:p>
    <w:p>
      <w:pPr>
        <w:pStyle w:val="Normal"/>
        <w:framePr w:w="672" w:hAnchor="page" w:vAnchor="page" w:x="6696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159.0 </w:t>
      </w:r>
    </w:p>
    <w:p>
      <w:pPr>
        <w:pStyle w:val="Normal"/>
        <w:framePr w:w="672" w:hAnchor="page" w:vAnchor="page" w:x="8272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158.5 </w:t>
      </w:r>
    </w:p>
    <w:p>
      <w:pPr>
        <w:pStyle w:val="Normal"/>
        <w:framePr w:w="672" w:hAnchor="page" w:vAnchor="page" w:x="9864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467.4 </w:t>
      </w:r>
    </w:p>
    <w:p>
      <w:pPr>
        <w:pStyle w:val="Normal"/>
        <w:framePr w:w="672" w:hAnchor="page" w:vAnchor="page" w:x="1144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209.5 </w:t>
      </w:r>
    </w:p>
    <w:p>
      <w:pPr>
        <w:pStyle w:val="Normal"/>
        <w:framePr w:w="1897" w:hAnchor="page" w:vAnchor="page" w:x="390" w:y="38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Costs and expenses</w:t>
      </w:r>
    </w:p>
    <w:p>
      <w:pPr>
        <w:pStyle w:val="Normal"/>
        <w:framePr w:w="816" w:hAnchor="page" w:vAnchor="page" w:x="4985" w:y="38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2,017.2 </w:t>
      </w:r>
    </w:p>
    <w:p>
      <w:pPr>
        <w:pStyle w:val="Normal"/>
        <w:framePr w:w="816" w:hAnchor="page" w:vAnchor="page" w:x="6576" w:y="38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1,883.0 </w:t>
      </w:r>
    </w:p>
    <w:p>
      <w:pPr>
        <w:pStyle w:val="Normal"/>
        <w:framePr w:w="816" w:hAnchor="page" w:vAnchor="page" w:x="8152" w:y="38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1,813.7 </w:t>
      </w:r>
    </w:p>
    <w:p>
      <w:pPr>
        <w:pStyle w:val="Normal"/>
        <w:framePr w:w="816" w:hAnchor="page" w:vAnchor="page" w:x="9744" w:y="38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3,900.2 </w:t>
      </w:r>
    </w:p>
    <w:p>
      <w:pPr>
        <w:pStyle w:val="Normal"/>
        <w:framePr w:w="816" w:hAnchor="page" w:vAnchor="page" w:x="11320" w:y="38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3,480.1 </w:t>
      </w:r>
    </w:p>
    <w:p>
      <w:pPr>
        <w:pStyle w:val="Normal"/>
        <w:framePr w:w="972" w:hAnchor="page" w:vAnchor="page" w:x="390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288" w:hAnchor="page" w:vAnchor="page" w:x="4083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4985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2,325.6 </w:t>
      </w:r>
    </w:p>
    <w:p>
      <w:pPr>
        <w:pStyle w:val="Normal"/>
        <w:framePr w:w="288" w:hAnchor="page" w:vAnchor="page" w:x="5675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576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2,042.0 </w:t>
      </w:r>
    </w:p>
    <w:p>
      <w:pPr>
        <w:pStyle w:val="Normal"/>
        <w:framePr w:w="288" w:hAnchor="page" w:vAnchor="page" w:x="7251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8152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288" w:hAnchor="page" w:vAnchor="page" w:x="8842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9744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4,367.6 </w:t>
      </w:r>
    </w:p>
    <w:p>
      <w:pPr>
        <w:pStyle w:val="Normal"/>
        <w:framePr w:w="288" w:hAnchor="page" w:vAnchor="page" w:x="10419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320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3,689.6 </w:t>
      </w:r>
    </w:p>
    <w:p>
      <w:pPr>
        <w:pStyle w:val="Normal"/>
        <w:framePr w:w="576" w:hAnchor="page" w:vAnchor="page" w:x="4639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576" w:hAnchor="page" w:vAnchor="page" w:x="6230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576" w:hAnchor="page" w:vAnchor="page" w:x="7807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9398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576" w:hAnchor="page" w:vAnchor="page" w:x="10974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875" w:hAnchor="page" w:vAnchor="page" w:x="4514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031" w:hAnchor="page" w:vAnchor="page" w:x="6041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75" w:hAnchor="page" w:vAnchor="page" w:x="7682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75" w:hAnchor="page" w:vAnchor="page" w:x="10062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938" w:hAnchor="page" w:vAnchor="page" w:x="5655" w:y="26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707" w:hAnchor="page" w:vAnchor="page" w:x="9715" w:y="26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4971" w:hAnchor="page" w:vAnchor="page" w:x="4149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6871" w:hAnchor="page" w:vAnchor="page" w:x="335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7pt;margin-top:1pt;z-index:-167741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13pt;margin-top:594pt;z-index:-16774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13pt;margin-top:594.75pt;z-index:-16774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596.25pt;margin-top:594pt;z-index:-16774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13pt;margin-top:594pt;z-index:-16774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169.45pt;margin-top:91.1pt;z-index:-1677413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166.85pt;margin-top:103.1pt;z-index:-16774132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202.15pt;margin-top:143.6pt;z-index:-167741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360.55pt;margin-top:143.6pt;z-index:-1677412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202.15pt;margin-top:155.65pt;z-index:-167741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360.55pt;margin-top:155.65pt;z-index:-167741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202.15pt;margin-top:494.9pt;z-index:-16774112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274.2pt;margin-top:494.9pt;z-index:-16774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360.55pt;margin-top:494.9pt;z-index:-16774104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432.6pt;margin-top:494.9pt;z-index:-16774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202.15pt;margin-top:506.95pt;z-index:-1677409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274.2pt;margin-top:506.95pt;z-index:-167740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360.55pt;margin-top:506.95pt;z-index:-1677408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432.6pt;margin-top:506.95pt;z-index:-16774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18.95pt;margin-top:409.35pt;z-index:-167740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18.95pt;margin-top:411.6pt;z-index:-167740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440.1pt;margin-top:409.35pt;z-index:-167740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440.1pt;margin-top:411.6pt;z-index:-167740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360.55pt;margin-top:409.35pt;z-index:-167740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360.55pt;margin-top:411.6pt;z-index:-167740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281.75pt;margin-top:409.35pt;z-index:-167740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281.75pt;margin-top:411.6pt;z-index:-167740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202.15pt;margin-top:409.35pt;z-index:-167740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202.15pt;margin-top:411.6pt;z-index:-167740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91pt;margin-top:397.35pt;z-index:-16774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91pt;margin-top:409.35pt;z-index:-16774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91pt;margin-top:411.6pt;z-index:-16774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24.2pt;margin-top:397.35pt;z-index:-167740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24.2pt;margin-top:409.35pt;z-index:-167740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24.2pt;margin-top:411.6pt;z-index:-167740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18.95pt;margin-top:409.35pt;z-index:-16774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518.95pt;margin-top:411.6pt;z-index:-16774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512.15pt;margin-top:397.35pt;z-index:-16774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512.15pt;margin-top:409.35pt;z-index:-16774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12.15pt;margin-top:411.6pt;z-index:-16774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445.35pt;margin-top:397.35pt;z-index:-167739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445.35pt;margin-top:409.35pt;z-index:-167739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445.35pt;margin-top:411.6pt;z-index:-167739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440.1pt;margin-top:409.35pt;z-index:-16773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440.1pt;margin-top:411.6pt;z-index:-167739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432.6pt;margin-top:397.35pt;z-index:-16773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432.6pt;margin-top:409.35pt;z-index:-16773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432.6pt;margin-top:411.6pt;z-index:-1677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365.8pt;margin-top:397.35pt;z-index:-167739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365.8pt;margin-top:409.35pt;z-index:-167739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365.8pt;margin-top:411.6pt;z-index:-167739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360.55pt;margin-top:409.35pt;z-index:-16773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360.55pt;margin-top:411.6pt;z-index:-16773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353.8pt;margin-top:397.35pt;z-index:-16773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353.8pt;margin-top:409.35pt;z-index:-16773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353.8pt;margin-top:411.6pt;z-index:-16773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287pt;margin-top:397.35pt;z-index:-167739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287pt;margin-top:409.35pt;z-index:-167739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287pt;margin-top:411.6pt;z-index:-167739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281.75pt;margin-top:409.35pt;z-index:-16773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281.75pt;margin-top:411.6pt;z-index:-16773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274.2pt;margin-top:397.35pt;z-index:-16773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274.2pt;margin-top:409.35pt;z-index:-1677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274.2pt;margin-top:411.6pt;z-index:-16773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207.4pt;margin-top:397.35pt;z-index:-167739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207.4pt;margin-top:409.35pt;z-index:-167738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207.4pt;margin-top:411.6pt;z-index:-167738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202.15pt;margin-top:409.35pt;z-index:-16773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202.15pt;margin-top:411.6pt;z-index:-16773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518.95pt;margin-top:397.35pt;z-index:-167738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440.1pt;margin-top:397.35pt;z-index:-167738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360.55pt;margin-top:397.35pt;z-index:-167738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281.75pt;margin-top:397.35pt;z-index:-167738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202.15pt;margin-top:397.35pt;z-index:-167738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591pt;margin-top:353.05pt;z-index:-16773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12.15pt;margin-top:353.05pt;z-index:-16773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432.6pt;margin-top:353.05pt;z-index:-16773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353.8pt;margin-top:353.05pt;z-index:-16773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274.2pt;margin-top:353.05pt;z-index:-16773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18.95pt;margin-top:353.05pt;z-index:-16773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440.1pt;margin-top:353.05pt;z-index:-16773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360.55pt;margin-top:353.05pt;z-index:-16773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281.75pt;margin-top:353.05pt;z-index:-16773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202.15pt;margin-top:353.05pt;z-index:-167738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91pt;margin-top:317.75pt;z-index:-16773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12.15pt;margin-top:317.75pt;z-index:-16773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432.6pt;margin-top:317.75pt;z-index:-16773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53.8pt;margin-top:317.75pt;z-index:-16773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274.2pt;margin-top:317.75pt;z-index:-1677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18.95pt;margin-top:317.75pt;z-index:-167738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40.1pt;margin-top:317.75pt;z-index:-167737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360.55pt;margin-top:317.75pt;z-index:-167737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281.75pt;margin-top:317.75pt;z-index:-16773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202.15pt;margin-top:317.75pt;z-index:-167737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591pt;margin-top:275.75pt;z-index:-16773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12.15pt;margin-top:275.75pt;z-index:-16773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432.6pt;margin-top:275.75pt;z-index:-16773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353.8pt;margin-top:275.75pt;z-index:-1677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274.2pt;margin-top:275.75pt;z-index:-16773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18.95pt;margin-top:275.75pt;z-index:-167737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440.1pt;margin-top:275.75pt;z-index:-16773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60.55pt;margin-top:275.75pt;z-index:-16773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281.75pt;margin-top:275.75pt;z-index:-16773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202.15pt;margin-top:275.75pt;z-index:-167737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591pt;margin-top:203.65pt;z-index:-16773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518.95pt;margin-top:203.65pt;z-index:-167737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12.15pt;margin-top:203.65pt;z-index:-16773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440.1pt;margin-top:203.65pt;z-index:-167737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432.6pt;margin-top:203.65pt;z-index:-16773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360.55pt;margin-top:203.65pt;z-index:-1677372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353.8pt;margin-top:203.65pt;z-index:-16773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281.75pt;margin-top:203.65pt;z-index:-167737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274.2pt;margin-top:203.65pt;z-index:-16773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202.15pt;margin-top:203.65pt;z-index:-167737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18.95pt;margin-top:155.65pt;z-index:-167737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18.95pt;margin-top:167.65pt;z-index:-167736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13.7pt;margin-top:155.65pt;z-index:-16773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40.1pt;margin-top:167.65pt;z-index:-167736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360.55pt;margin-top:167.65pt;z-index:-167736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281.75pt;margin-top:167.65pt;z-index:-167736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202.15pt;margin-top:167.65pt;z-index:-167736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40.1pt;margin-top:155.65pt;z-index:-16773672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360.55pt;margin-top:143.6pt;z-index:-16773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360.55pt;margin-top:155.65pt;z-index:-167736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355.3pt;margin-top:143.6pt;z-index:-16773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281.75pt;margin-top:143.6pt;z-index:-167736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281.75pt;margin-top:155.65pt;z-index:-16773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275.75pt;margin-top:143.6pt;z-index:-16773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202.15pt;margin-top:155.65pt;z-index:-16773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440.1pt;margin-top:143.6pt;z-index:-16773640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202.15pt;margin-top:143.6pt;z-index:-16773636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</w:p>
    <w:p>
      <w:pPr>
        <w:pStyle w:val="Normal"/>
        <w:framePr w:w="1778" w:hAnchor="page" w:vAnchor="page" w:x="5459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24</w:t>
      </w:r>
    </w:p>
    <w:p>
      <w:pPr>
        <w:pStyle w:val="Normal"/>
        <w:framePr w:w="6321" w:hAnchor="page" w:vAnchor="page" w:x="280" w:y="86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Includes amounts attributable to non-controlling interests.</w:t>
      </w:r>
    </w:p>
    <w:p>
      <w:pPr>
        <w:pStyle w:val="Normal"/>
        <w:framePr w:w="12754" w:hAnchor="page" w:vAnchor="page" w:x="640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three and six months ended June 30, 2023, corporate expense includes the non-recurring legal settlement charge of $126.5 million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.</w:t>
      </w:r>
    </w:p>
    <w:p>
      <w:pPr>
        <w:pStyle w:val="Normal"/>
        <w:framePr w:w="13957" w:hAnchor="page" w:vAnchor="page" w:x="280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Corporate expense primarily includes corporate staff expenses, share-based compensation expenses, and other employee benefits. For the</w:t>
      </w:r>
    </w:p>
    <w:p>
      <w:pPr>
        <w:pStyle w:val="Normal"/>
        <w:framePr w:w="3193" w:hAnchor="page" w:vAnchor="page" w:x="330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(loss) before income taxes</w:t>
      </w:r>
    </w:p>
    <w:p>
      <w:pPr>
        <w:pStyle w:val="Normal"/>
        <w:framePr w:w="308" w:hAnchor="page" w:vAnchor="page" w:x="2811" w:y="7397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654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519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245.5     $</w:t>
      </w:r>
    </w:p>
    <w:p>
      <w:pPr>
        <w:pStyle w:val="Normal"/>
        <w:framePr w:w="1069" w:hAnchor="page" w:vAnchor="page" w:x="7021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210.6     $</w:t>
      </w:r>
    </w:p>
    <w:p>
      <w:pPr>
        <w:pStyle w:val="Normal"/>
        <w:framePr w:w="1050" w:hAnchor="page" w:vAnchor="page" w:x="8522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(53.0)    $</w:t>
      </w:r>
    </w:p>
    <w:p>
      <w:pPr>
        <w:pStyle w:val="Normal"/>
        <w:framePr w:w="1033" w:hAnchor="page" w:vAnchor="page" w:x="9993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456.1    $</w:t>
      </w:r>
    </w:p>
    <w:p>
      <w:pPr>
        <w:pStyle w:val="Normal"/>
        <w:framePr w:w="630" w:hAnchor="page" w:vAnchor="page" w:x="11555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(7.8)</w:t>
      </w:r>
    </w:p>
    <w:p>
      <w:pPr>
        <w:pStyle w:val="Normal"/>
        <w:framePr w:w="2050" w:hAnchor="page" w:vAnchor="page" w:x="690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324" w:hAnchor="page" w:vAnchor="page" w:x="4654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535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(62.8)    $</w:t>
      </w:r>
    </w:p>
    <w:p>
      <w:pPr>
        <w:pStyle w:val="Normal"/>
        <w:framePr w:w="1050" w:hAnchor="page" w:vAnchor="page" w:x="7036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(49.4)    $</w:t>
      </w:r>
    </w:p>
    <w:p>
      <w:pPr>
        <w:pStyle w:val="Normal"/>
        <w:framePr w:w="1158" w:hAnchor="page" w:vAnchor="page" w:x="8432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(232.1)    $</w:t>
      </w:r>
    </w:p>
    <w:p>
      <w:pPr>
        <w:pStyle w:val="Normal"/>
        <w:framePr w:w="1115" w:hAnchor="page" w:vAnchor="page" w:x="9925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(112.2)   $</w:t>
      </w:r>
    </w:p>
    <w:p>
      <w:pPr>
        <w:pStyle w:val="Normal"/>
        <w:framePr w:w="846" w:hAnchor="page" w:vAnchor="page" w:x="11375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(276.1)</w:t>
      </w:r>
    </w:p>
    <w:p>
      <w:pPr>
        <w:pStyle w:val="Normal"/>
        <w:framePr w:w="2329" w:hAnchor="page" w:vAnchor="page" w:x="330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losses</w:t>
      </w:r>
    </w:p>
    <w:p>
      <w:pPr>
        <w:pStyle w:val="Normal"/>
        <w:framePr w:w="738" w:hAnchor="page" w:vAnchor="page" w:x="5535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(17.7)</w:t>
      </w:r>
    </w:p>
    <w:p>
      <w:pPr>
        <w:pStyle w:val="Normal"/>
        <w:framePr w:w="630" w:hAnchor="page" w:vAnchor="page" w:x="7126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(4.5)</w:t>
      </w:r>
    </w:p>
    <w:p>
      <w:pPr>
        <w:pStyle w:val="Normal"/>
        <w:framePr w:w="738" w:hAnchor="page" w:vAnchor="page" w:x="8522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(48.3)</w:t>
      </w:r>
    </w:p>
    <w:p>
      <w:pPr>
        <w:pStyle w:val="Normal"/>
        <w:framePr w:w="738" w:hAnchor="page" w:vAnchor="page" w:x="10008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(22.2)</w:t>
      </w:r>
    </w:p>
    <w:p>
      <w:pPr>
        <w:pStyle w:val="Normal"/>
        <w:framePr w:w="738" w:hAnchor="page" w:vAnchor="page" w:x="11465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(46.2)</w:t>
      </w:r>
    </w:p>
    <w:p>
      <w:pPr>
        <w:pStyle w:val="Normal"/>
        <w:framePr w:w="1969" w:hAnchor="page" w:vAnchor="page" w:x="330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738" w:hAnchor="page" w:vAnchor="page" w:x="5535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(21.4)</w:t>
      </w:r>
    </w:p>
    <w:p>
      <w:pPr>
        <w:pStyle w:val="Normal"/>
        <w:framePr w:w="738" w:hAnchor="page" w:vAnchor="page" w:x="7036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(12.7)</w:t>
      </w:r>
    </w:p>
    <w:p>
      <w:pPr>
        <w:pStyle w:val="Normal"/>
        <w:framePr w:w="738" w:hAnchor="page" w:vAnchor="page" w:x="8522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(30.3)</w:t>
      </w:r>
    </w:p>
    <w:p>
      <w:pPr>
        <w:pStyle w:val="Normal"/>
        <w:framePr w:w="738" w:hAnchor="page" w:vAnchor="page" w:x="10008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(34.1)</w:t>
      </w:r>
    </w:p>
    <w:p>
      <w:pPr>
        <w:pStyle w:val="Normal"/>
        <w:framePr w:w="738" w:hAnchor="page" w:vAnchor="page" w:x="11465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(49.0)</w:t>
      </w:r>
    </w:p>
    <w:p>
      <w:pPr>
        <w:pStyle w:val="Normal"/>
        <w:framePr w:w="1831" w:hAnchor="page" w:vAnchor="page" w:x="330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</w:t>
      </w:r>
    </w:p>
    <w:p>
      <w:pPr>
        <w:pStyle w:val="Normal"/>
        <w:framePr w:w="308" w:hAnchor="page" w:vAnchor="page" w:x="1676" w:y="6136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654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535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(23.7)    $</w:t>
      </w:r>
    </w:p>
    <w:p>
      <w:pPr>
        <w:pStyle w:val="Normal"/>
        <w:framePr w:w="1050" w:hAnchor="page" w:vAnchor="page" w:x="7036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(32.2)    $</w:t>
      </w:r>
    </w:p>
    <w:p>
      <w:pPr>
        <w:pStyle w:val="Normal"/>
        <w:framePr w:w="1158" w:hAnchor="page" w:vAnchor="page" w:x="8432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(153.5)    $</w:t>
      </w:r>
    </w:p>
    <w:p>
      <w:pPr>
        <w:pStyle w:val="Normal"/>
        <w:framePr w:w="1014" w:hAnchor="page" w:vAnchor="page" w:x="10008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(55.9)   $</w:t>
      </w:r>
    </w:p>
    <w:p>
      <w:pPr>
        <w:pStyle w:val="Normal"/>
        <w:framePr w:w="846" w:hAnchor="page" w:vAnchor="page" w:x="11375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(180.9)</w:t>
      </w:r>
    </w:p>
    <w:p>
      <w:pPr>
        <w:pStyle w:val="Normal"/>
        <w:framePr w:w="1603" w:hAnchor="page" w:vAnchor="page" w:x="330" w:y="590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690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324" w:hAnchor="page" w:vAnchor="page" w:x="4654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519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308.3     $</w:t>
      </w:r>
    </w:p>
    <w:p>
      <w:pPr>
        <w:pStyle w:val="Normal"/>
        <w:framePr w:w="1069" w:hAnchor="page" w:vAnchor="page" w:x="7021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260.0     $</w:t>
      </w:r>
    </w:p>
    <w:p>
      <w:pPr>
        <w:pStyle w:val="Normal"/>
        <w:framePr w:w="1069" w:hAnchor="page" w:vAnchor="page" w:x="8507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179.1     $</w:t>
      </w:r>
    </w:p>
    <w:p>
      <w:pPr>
        <w:pStyle w:val="Normal"/>
        <w:framePr w:w="1033" w:hAnchor="page" w:vAnchor="page" w:x="9993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568.3    $</w:t>
      </w:r>
    </w:p>
    <w:p>
      <w:pPr>
        <w:pStyle w:val="Normal"/>
        <w:framePr w:w="756" w:hAnchor="page" w:vAnchor="page" w:x="11449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268.3 </w:t>
      </w:r>
    </w:p>
    <w:p>
      <w:pPr>
        <w:pStyle w:val="Normal"/>
        <w:framePr w:w="2080" w:hAnchor="page" w:vAnchor="page" w:x="330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610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30.6 </w:t>
      </w:r>
    </w:p>
    <w:p>
      <w:pPr>
        <w:pStyle w:val="Normal"/>
        <w:framePr w:w="756" w:hAnchor="page" w:vAnchor="page" w:x="7021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103.4 </w:t>
      </w:r>
    </w:p>
    <w:p>
      <w:pPr>
        <w:pStyle w:val="Normal"/>
        <w:framePr w:w="648" w:hAnchor="page" w:vAnchor="page" w:x="8597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25.7 </w:t>
      </w:r>
    </w:p>
    <w:p>
      <w:pPr>
        <w:pStyle w:val="Normal"/>
        <w:framePr w:w="756" w:hAnchor="page" w:vAnchor="page" w:x="9993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134.0 </w:t>
      </w:r>
    </w:p>
    <w:p>
      <w:pPr>
        <w:pStyle w:val="Normal"/>
        <w:framePr w:w="648" w:hAnchor="page" w:vAnchor="page" w:x="11540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48.1 </w:t>
      </w:r>
    </w:p>
    <w:p>
      <w:pPr>
        <w:pStyle w:val="Normal"/>
        <w:framePr w:w="828" w:hAnchor="page" w:vAnchor="page" w:x="330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654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519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277.7     $</w:t>
      </w:r>
    </w:p>
    <w:p>
      <w:pPr>
        <w:pStyle w:val="Normal"/>
        <w:framePr w:w="1069" w:hAnchor="page" w:vAnchor="page" w:x="7021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156.6     $</w:t>
      </w:r>
    </w:p>
    <w:p>
      <w:pPr>
        <w:pStyle w:val="Normal"/>
        <w:framePr w:w="1069" w:hAnchor="page" w:vAnchor="page" w:x="8507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153.4     $</w:t>
      </w:r>
    </w:p>
    <w:p>
      <w:pPr>
        <w:pStyle w:val="Normal"/>
        <w:framePr w:w="1033" w:hAnchor="page" w:vAnchor="page" w:x="9993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434.3    $</w:t>
      </w:r>
    </w:p>
    <w:p>
      <w:pPr>
        <w:pStyle w:val="Normal"/>
        <w:framePr w:w="756" w:hAnchor="page" w:vAnchor="page" w:x="11449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220.2 </w:t>
      </w:r>
    </w:p>
    <w:p>
      <w:pPr>
        <w:pStyle w:val="Normal"/>
        <w:framePr w:w="2377" w:hAnchor="page" w:vAnchor="page" w:x="330" w:y="46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2170" w:hAnchor="page" w:vAnchor="page" w:x="690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revenue</w:t>
      </w:r>
    </w:p>
    <w:p>
      <w:pPr>
        <w:pStyle w:val="Normal"/>
        <w:framePr w:w="324" w:hAnchor="page" w:vAnchor="page" w:x="4654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5384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2,325.6     $</w:t>
      </w:r>
    </w:p>
    <w:p>
      <w:pPr>
        <w:pStyle w:val="Normal"/>
        <w:framePr w:w="1231" w:hAnchor="page" w:vAnchor="page" w:x="6886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2,042.0     $</w:t>
      </w:r>
    </w:p>
    <w:p>
      <w:pPr>
        <w:pStyle w:val="Normal"/>
        <w:framePr w:w="1231" w:hAnchor="page" w:vAnchor="page" w:x="8372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1,972.2     $</w:t>
      </w:r>
    </w:p>
    <w:p>
      <w:pPr>
        <w:pStyle w:val="Normal"/>
        <w:framePr w:w="1195" w:hAnchor="page" w:vAnchor="page" w:x="9858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4,367.6    $</w:t>
      </w:r>
    </w:p>
    <w:p>
      <w:pPr>
        <w:pStyle w:val="Normal"/>
        <w:framePr w:w="919" w:hAnchor="page" w:vAnchor="page" w:x="11314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3,689.6 </w:t>
      </w:r>
    </w:p>
    <w:p>
      <w:pPr>
        <w:pStyle w:val="Normal"/>
        <w:framePr w:w="2080" w:hAnchor="page" w:vAnchor="page" w:x="330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519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316.5 </w:t>
      </w:r>
    </w:p>
    <w:p>
      <w:pPr>
        <w:pStyle w:val="Normal"/>
        <w:framePr w:w="702" w:hAnchor="page" w:vAnchor="page" w:x="7076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307.2</w:t>
      </w:r>
    </w:p>
    <w:p>
      <w:pPr>
        <w:pStyle w:val="Normal"/>
        <w:framePr w:w="756" w:hAnchor="page" w:vAnchor="page" w:x="8507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353.8 </w:t>
      </w:r>
    </w:p>
    <w:p>
      <w:pPr>
        <w:pStyle w:val="Normal"/>
        <w:framePr w:w="756" w:hAnchor="page" w:vAnchor="page" w:x="9993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623.7 </w:t>
      </w:r>
    </w:p>
    <w:p>
      <w:pPr>
        <w:pStyle w:val="Normal"/>
        <w:framePr w:w="756" w:hAnchor="page" w:vAnchor="page" w:x="11449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683.6 </w:t>
      </w:r>
    </w:p>
    <w:p>
      <w:pPr>
        <w:pStyle w:val="Normal"/>
        <w:framePr w:w="828" w:hAnchor="page" w:vAnchor="page" w:x="330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654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5384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2,009.1     $</w:t>
      </w:r>
    </w:p>
    <w:p>
      <w:pPr>
        <w:pStyle w:val="Normal"/>
        <w:framePr w:w="1231" w:hAnchor="page" w:vAnchor="page" w:x="6886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1,734.8     $</w:t>
      </w:r>
    </w:p>
    <w:p>
      <w:pPr>
        <w:pStyle w:val="Normal"/>
        <w:framePr w:w="1231" w:hAnchor="page" w:vAnchor="page" w:x="8372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1,618.4     $</w:t>
      </w:r>
    </w:p>
    <w:p>
      <w:pPr>
        <w:pStyle w:val="Normal"/>
        <w:framePr w:w="1195" w:hAnchor="page" w:vAnchor="page" w:x="9858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3,743.9    $</w:t>
      </w:r>
    </w:p>
    <w:p>
      <w:pPr>
        <w:pStyle w:val="Normal"/>
        <w:framePr w:w="919" w:hAnchor="page" w:vAnchor="page" w:x="11314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3,006.0 </w:t>
      </w:r>
    </w:p>
    <w:p>
      <w:pPr>
        <w:pStyle w:val="Normal"/>
        <w:framePr w:w="1711" w:hAnchor="page" w:vAnchor="page" w:x="330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revenue</w:t>
      </w:r>
    </w:p>
    <w:p>
      <w:pPr>
        <w:pStyle w:val="Normal"/>
        <w:framePr w:w="648" w:hAnchor="page" w:vAnchor="page" w:x="5137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6630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8124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9610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11067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985" w:hAnchor="page" w:vAnchor="page" w:x="4996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161" w:hAnchor="page" w:vAnchor="page" w:x="6417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March 31,</w:t>
      </w:r>
    </w:p>
    <w:p>
      <w:pPr>
        <w:pStyle w:val="Normal"/>
        <w:framePr w:w="985" w:hAnchor="page" w:vAnchor="page" w:x="7984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985" w:hAnchor="page" w:vAnchor="page" w:x="10198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2182" w:hAnchor="page" w:vAnchor="page" w:x="5991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922" w:hAnchor="page" w:vAnchor="page" w:x="9808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7pt;margin-top:1pt;z-index:-167736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13pt;margin-top:503.15pt;z-index:-167736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13pt;margin-top:503.9pt;z-index:-16773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596.25pt;margin-top:503.15pt;z-index:-167736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13pt;margin-top:503.15pt;z-index:-16773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169.45pt;margin-top:91.1pt;z-index:-1677361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239.85pt;margin-top:103.1pt;z-index:-16773608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230.7pt;margin-top:144.35pt;z-index:-16773604;width:70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380.05pt;margin-top:144.35pt;z-index:-16773600;width:70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230.7pt;margin-top:157.15pt;z-index:-16773596;width:70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380.05pt;margin-top:157.15pt;z-index:-16773592;width:70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230.7pt;margin-top:317pt;z-index:-167735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297.5pt;margin-top:317pt;z-index:-16773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94pt;margin-top:365.8pt;z-index:-16773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594pt;margin-top:378.55pt;z-index:-16773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594pt;margin-top:380.8pt;z-index:-16773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533.2pt;margin-top:365.8pt;z-index:-167735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533.2pt;margin-top:378.55pt;z-index:-167735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33.2pt;margin-top:380.8pt;z-index:-167735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27.2pt;margin-top:378.55pt;z-index:-16773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27.2pt;margin-top:380.8pt;z-index:-16773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521.2pt;margin-top:365.8pt;z-index:-16773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21.2pt;margin-top:378.55pt;z-index:-16773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21.2pt;margin-top:380.8pt;z-index:-16773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460.4pt;margin-top:365.8pt;z-index:-167735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460.4pt;margin-top:378.55pt;z-index:-167735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460.4pt;margin-top:380.8pt;z-index:-167735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454.4pt;margin-top:378.55pt;z-index:-16773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454.4pt;margin-top:380.8pt;z-index:-16773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446.85pt;margin-top:365.8pt;z-index:-16773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446.85pt;margin-top:378.55pt;z-index:-16773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446.85pt;margin-top:380.8pt;z-index:-16773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386.05pt;margin-top:365.8pt;z-index:-167735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386.05pt;margin-top:378.55pt;z-index:-167735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386.05pt;margin-top:380.8pt;z-index:-167734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380.05pt;margin-top:378.55pt;z-index:-16773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380.05pt;margin-top:380.8pt;z-index:-16773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372.55pt;margin-top:365.8pt;z-index:-16773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372.55pt;margin-top:378.55pt;z-index:-16773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372.55pt;margin-top:380.8pt;z-index:-16773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311pt;margin-top:365.8pt;z-index:-167734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311pt;margin-top:378.55pt;z-index:-167734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311pt;margin-top:380.8pt;z-index:-167734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305pt;margin-top:378.55pt;z-index:-16773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305pt;margin-top:380.8pt;z-index:-16773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297.5pt;margin-top:365.8pt;z-index:-16773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297.5pt;margin-top:378.55pt;z-index:-16773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297.5pt;margin-top:380.8pt;z-index:-16773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236.7pt;margin-top:365.8pt;z-index:-167734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236.7pt;margin-top:378.55pt;z-index:-167734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236.7pt;margin-top:380.8pt;z-index:-167734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230.7pt;margin-top:378.55pt;z-index:-16773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230.7pt;margin-top:380.8pt;z-index:-16773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27.2pt;margin-top:365.8pt;z-index:-167734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54.4pt;margin-top:365.8pt;z-index:-167734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380.05pt;margin-top:365.8pt;z-index:-167734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305pt;margin-top:365.8pt;z-index:-167734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230.7pt;margin-top:365.8pt;z-index:-167734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33.2pt;margin-top:341.05pt;z-index:-167734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460.4pt;margin-top:341.05pt;z-index:-167733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386.05pt;margin-top:341.05pt;z-index:-167733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311pt;margin-top:341.05pt;z-index:-167733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236.7pt;margin-top:341.05pt;z-index:-167733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94pt;margin-top:341.05pt;z-index:-1677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27.2pt;margin-top:341.05pt;z-index:-16773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521.2pt;margin-top:341.05pt;z-index:-16773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54.4pt;margin-top:341.05pt;z-index:-16773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46.85pt;margin-top:341.05pt;z-index:-1677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380.05pt;margin-top:341.05pt;z-index:-16773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372.55pt;margin-top:341.05pt;z-index:-16773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305pt;margin-top:341.05pt;z-index:-167733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297.5pt;margin-top:341.05pt;z-index:-16773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230.7pt;margin-top:341.05pt;z-index:-16773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27.2pt;margin-top:281pt;z-index:-167733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454.4pt;margin-top:281pt;z-index:-167733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380.05pt;margin-top:281pt;z-index:-167733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305pt;margin-top:281pt;z-index:-167733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30.7pt;margin-top:281pt;z-index:-167733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594pt;margin-top:281pt;z-index:-16773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533.2pt;margin-top:268.25pt;z-index:-167733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533.2pt;margin-top:281pt;z-index:-167733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527.2pt;margin-top:281pt;z-index:-16773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21.2pt;margin-top:281pt;z-index:-16773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460.4pt;margin-top:268.25pt;z-index:-167733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460.4pt;margin-top:281pt;z-index:-167732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454.4pt;margin-top:281pt;z-index:-16773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446.85pt;margin-top:281pt;z-index:-16773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86.05pt;margin-top:268.25pt;z-index:-167732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86.05pt;margin-top:281pt;z-index:-167732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380.05pt;margin-top:281pt;z-index:-16773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72.55pt;margin-top:281pt;z-index:-16773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311pt;margin-top:268.25pt;z-index:-167732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311pt;margin-top:281pt;z-index:-167732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305pt;margin-top:281pt;z-index:-16773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297.5pt;margin-top:281pt;z-index:-1677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236.7pt;margin-top:268.25pt;z-index:-167732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236.7pt;margin-top:281pt;z-index:-167732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230.7pt;margin-top:281pt;z-index:-16773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94pt;margin-top:268.25pt;z-index:-1677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27.2pt;margin-top:268.25pt;z-index:-167732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21.2pt;margin-top:268.25pt;z-index:-1677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54.4pt;margin-top:268.25pt;z-index:-167732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446.85pt;margin-top:268.25pt;z-index:-16773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380.05pt;margin-top:268.25pt;z-index:-16773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372.55pt;margin-top:268.25pt;z-index:-16773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305pt;margin-top:268.25pt;z-index:-16773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297.5pt;margin-top:268.25pt;z-index:-16773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230.7pt;margin-top:268.25pt;z-index:-167732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527.2pt;margin-top:218.7pt;z-index:-167732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527.2pt;margin-top:220.95pt;z-index:-167731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454.4pt;margin-top:218.7pt;z-index:-167731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454.4pt;margin-top:220.95pt;z-index:-167731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380.05pt;margin-top:218.7pt;z-index:-167731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380.05pt;margin-top:220.95pt;z-index:-167731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305pt;margin-top:218.7pt;z-index:-167731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305pt;margin-top:220.95pt;z-index:-167731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230.7pt;margin-top:218.7pt;z-index:-167731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230.7pt;margin-top:220.95pt;z-index:-167731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94pt;margin-top:218.7pt;z-index:-16773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94pt;margin-top:220.95pt;z-index:-1677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533.2pt;margin-top:205.9pt;z-index:-167731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533.2pt;margin-top:218.7pt;z-index:-167731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33.2pt;margin-top:220.95pt;z-index:-167731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27.2pt;margin-top:218.7pt;z-index:-16773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27.2pt;margin-top:220.95pt;z-index:-16773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21.2pt;margin-top:218.7pt;z-index:-16773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21.2pt;margin-top:220.95pt;z-index:-1677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60.4pt;margin-top:205.9pt;z-index:-167731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460.4pt;margin-top:218.7pt;z-index:-167731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460.4pt;margin-top:220.95pt;z-index:-167731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454.4pt;margin-top:218.7pt;z-index:-16773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454.4pt;margin-top:220.95pt;z-index:-16773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446.85pt;margin-top:218.7pt;z-index:-16773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446.85pt;margin-top:220.95pt;z-index:-16773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386.05pt;margin-top:205.9pt;z-index:-167730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86.05pt;margin-top:218.7pt;z-index:-167730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86.05pt;margin-top:220.95pt;z-index:-167730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380.05pt;margin-top:218.7pt;z-index:-16773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380.05pt;margin-top:220.95pt;z-index:-16773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372.55pt;margin-top:205.9pt;z-index:-16773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372.55pt;margin-top:218.7pt;z-index:-1677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372.55pt;margin-top:220.95pt;z-index:-16773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311pt;margin-top:205.9pt;z-index:-167730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311pt;margin-top:218.7pt;z-index:-167730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311pt;margin-top:220.95pt;z-index:-167730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305pt;margin-top:218.7pt;z-index:-16773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305pt;margin-top:220.95pt;z-index:-16773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297.5pt;margin-top:218.7pt;z-index:-16773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297.5pt;margin-top:220.95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36.7pt;margin-top:205.9pt;z-index:-167730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236.7pt;margin-top:218.7pt;z-index:-167730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236.7pt;margin-top:220.95pt;z-index:-167730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230.7pt;margin-top:218.7pt;z-index:-16773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230.7pt;margin-top:220.95pt;z-index:-16773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594pt;margin-top:205.9pt;z-index:-16773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527.2pt;margin-top:205.9pt;z-index:-167730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521.2pt;margin-top:205.9pt;z-index:-16773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454.4pt;margin-top:205.9pt;z-index:-167730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446.85pt;margin-top:205.9pt;z-index:-16773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380.05pt;margin-top:205.9pt;z-index:-167729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305pt;margin-top:205.9pt;z-index:-167729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297.5pt;margin-top:205.9pt;z-index:-16772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230.7pt;margin-top:205.9pt;z-index:-167729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527.2pt;margin-top:157.15pt;z-index:-167729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27.2pt;margin-top:169.9pt;z-index:-167729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522.7pt;margin-top:157.15pt;z-index:-167729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454.4pt;margin-top:169.9pt;z-index:-167729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380.05pt;margin-top:169.9pt;z-index:-167729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05pt;margin-top:169.9pt;z-index:-167729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230.7pt;margin-top:169.9pt;z-index:-167729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54.4pt;margin-top:157.15pt;z-index:-16772952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380.05pt;margin-top:144.35pt;z-index:-167729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380.05pt;margin-top:157.15pt;z-index:-167729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374.05pt;margin-top:144.35pt;z-index:-16772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305pt;margin-top:144.35pt;z-index:-167729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305pt;margin-top:157.15pt;z-index:-167729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299pt;margin-top:144.35pt;z-index:-16772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230.7pt;margin-top:157.15pt;z-index:-167729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454.4pt;margin-top:144.35pt;z-index:-16772920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230.7pt;margin-top:144.35pt;z-index:-16772916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15.5pt;margin-top:179.65pt;z-index:-167729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15.5pt;margin-top:241.95pt;z-index:-16772908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15.5pt;margin-top:302.75pt;z-index:-167729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</w:p>
    <w:p>
      <w:pPr>
        <w:pStyle w:val="Normal"/>
        <w:framePr w:w="1778" w:hAnchor="page" w:vAnchor="page" w:x="5459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3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24</w:t>
      </w:r>
    </w:p>
    <w:p>
      <w:pPr>
        <w:pStyle w:val="Normal"/>
        <w:framePr w:w="11914" w:hAnchor="page" w:vAnchor="page" w:x="280" w:y="73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Order backlog is calculated as the estimated sales value of unfilled, confirmed customer orders at the reporting date.</w:t>
      </w:r>
    </w:p>
    <w:p>
      <w:pPr>
        <w:pStyle w:val="Normal"/>
        <w:framePr w:w="12095" w:hAnchor="page" w:vAnchor="page" w:x="280" w:y="6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Inbound orders represent the estimated sales value of confirmed customer orders received during the reporting period.</w:t>
      </w:r>
    </w:p>
    <w:p>
      <w:pPr>
        <w:pStyle w:val="Normal"/>
        <w:framePr w:w="2117" w:hAnchor="page" w:vAnchor="page" w:x="323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862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7029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13,898.8    $</w:t>
      </w:r>
    </w:p>
    <w:p>
      <w:pPr>
        <w:pStyle w:val="Normal"/>
        <w:framePr w:w="1428" w:hAnchor="page" w:vAnchor="page" w:x="9085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13,492.5    $</w:t>
      </w:r>
    </w:p>
    <w:p>
      <w:pPr>
        <w:pStyle w:val="Normal"/>
        <w:framePr w:w="1140" w:hAnchor="page" w:vAnchor="page" w:x="11157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13,278.6 </w:t>
      </w:r>
    </w:p>
    <w:p>
      <w:pPr>
        <w:pStyle w:val="Normal"/>
        <w:framePr w:w="2310" w:hAnchor="page" w:vAnchor="page" w:x="323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7279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972.9 </w:t>
      </w:r>
    </w:p>
    <w:p>
      <w:pPr>
        <w:pStyle w:val="Normal"/>
        <w:framePr w:w="1020" w:hAnchor="page" w:vAnchor="page" w:x="9185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1,037.0 </w:t>
      </w:r>
    </w:p>
    <w:p>
      <w:pPr>
        <w:pStyle w:val="Normal"/>
        <w:framePr w:w="1020" w:hAnchor="page" w:vAnchor="page" w:x="11257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1,190.1 </w:t>
      </w:r>
    </w:p>
    <w:p>
      <w:pPr>
        <w:pStyle w:val="Normal"/>
        <w:framePr w:w="920" w:hAnchor="page" w:vAnchor="page" w:x="323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862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7029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12,925.9    $</w:t>
      </w:r>
    </w:p>
    <w:p>
      <w:pPr>
        <w:pStyle w:val="Normal"/>
        <w:framePr w:w="1428" w:hAnchor="page" w:vAnchor="page" w:x="9085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12,455.5    $</w:t>
      </w:r>
    </w:p>
    <w:p>
      <w:pPr>
        <w:pStyle w:val="Normal"/>
        <w:framePr w:w="1140" w:hAnchor="page" w:vAnchor="page" w:x="11157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12,088.5 </w:t>
      </w:r>
    </w:p>
    <w:p>
      <w:pPr>
        <w:pStyle w:val="Normal"/>
        <w:framePr w:w="1767" w:hAnchor="page" w:vAnchor="page" w:x="323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Order Backlog</w:t>
      </w:r>
    </w:p>
    <w:p>
      <w:pPr>
        <w:pStyle w:val="Normal"/>
        <w:framePr w:w="338" w:hAnchor="page" w:vAnchor="page" w:x="1595" w:y="5224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(2)</w:t>
      </w:r>
    </w:p>
    <w:p>
      <w:pPr>
        <w:pStyle w:val="Normal"/>
        <w:framePr w:w="1634" w:hAnchor="page" w:vAnchor="page" w:x="6245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2024</w:t>
      </w:r>
    </w:p>
    <w:p>
      <w:pPr>
        <w:pStyle w:val="Normal"/>
        <w:framePr w:w="1829" w:hAnchor="page" w:vAnchor="page" w:x="8220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 2024</w:t>
      </w:r>
    </w:p>
    <w:p>
      <w:pPr>
        <w:pStyle w:val="Normal"/>
        <w:framePr w:w="1634" w:hAnchor="page" w:vAnchor="page" w:x="10366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2023</w:t>
      </w:r>
    </w:p>
    <w:p>
      <w:pPr>
        <w:pStyle w:val="Normal"/>
        <w:framePr w:w="2237" w:hAnchor="page" w:vAnchor="page" w:x="345" w:y="4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4143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26" w:hAnchor="page" w:vAnchor="page" w:x="4914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3,092.2    $</w:t>
      </w:r>
    </w:p>
    <w:p>
      <w:pPr>
        <w:pStyle w:val="Normal"/>
        <w:framePr w:w="1344" w:hAnchor="page" w:vAnchor="page" w:x="6491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2,774.4    $</w:t>
      </w:r>
    </w:p>
    <w:p>
      <w:pPr>
        <w:pStyle w:val="Normal"/>
        <w:framePr w:w="1344" w:hAnchor="page" w:vAnchor="page" w:x="8067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4,447.3    $</w:t>
      </w:r>
    </w:p>
    <w:p>
      <w:pPr>
        <w:pStyle w:val="Normal"/>
        <w:framePr w:w="1326" w:hAnchor="page" w:vAnchor="page" w:x="9673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5,866.6    $</w:t>
      </w:r>
    </w:p>
    <w:p>
      <w:pPr>
        <w:pStyle w:val="Normal"/>
        <w:framePr w:w="1020" w:hAnchor="page" w:vAnchor="page" w:x="11235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7,306.2 </w:t>
      </w:r>
    </w:p>
    <w:p>
      <w:pPr>
        <w:pStyle w:val="Normal"/>
        <w:framePr w:w="2080" w:hAnchor="page" w:vAnchor="page" w:x="345" w:y="39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840" w:hAnchor="page" w:vAnchor="page" w:x="5064" w:y="39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254.2 </w:t>
      </w:r>
    </w:p>
    <w:p>
      <w:pPr>
        <w:pStyle w:val="Normal"/>
        <w:framePr w:w="840" w:hAnchor="page" w:vAnchor="page" w:x="6641" w:y="39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370.6 </w:t>
      </w:r>
    </w:p>
    <w:p>
      <w:pPr>
        <w:pStyle w:val="Normal"/>
        <w:framePr w:w="840" w:hAnchor="page" w:vAnchor="page" w:x="8217" w:y="39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332.8 </w:t>
      </w:r>
    </w:p>
    <w:p>
      <w:pPr>
        <w:pStyle w:val="Normal"/>
        <w:framePr w:w="840" w:hAnchor="page" w:vAnchor="page" w:x="9823" w:y="39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624.8 </w:t>
      </w:r>
    </w:p>
    <w:p>
      <w:pPr>
        <w:pStyle w:val="Normal"/>
        <w:framePr w:w="840" w:hAnchor="page" w:vAnchor="page" w:x="11385" w:y="39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655.2 </w:t>
      </w:r>
    </w:p>
    <w:p>
      <w:pPr>
        <w:pStyle w:val="Normal"/>
        <w:framePr w:w="920" w:hAnchor="page" w:vAnchor="page" w:x="345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4143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26" w:hAnchor="page" w:vAnchor="page" w:x="4914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2,838.0    $</w:t>
      </w:r>
    </w:p>
    <w:p>
      <w:pPr>
        <w:pStyle w:val="Normal"/>
        <w:framePr w:w="1344" w:hAnchor="page" w:vAnchor="page" w:x="6491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2,403.8    $</w:t>
      </w:r>
    </w:p>
    <w:p>
      <w:pPr>
        <w:pStyle w:val="Normal"/>
        <w:framePr w:w="1335" w:hAnchor="page" w:vAnchor="page" w:x="8074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4,114.5    $</w:t>
      </w:r>
    </w:p>
    <w:p>
      <w:pPr>
        <w:pStyle w:val="Normal"/>
        <w:framePr w:w="1326" w:hAnchor="page" w:vAnchor="page" w:x="9673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5,241.8    $</w:t>
      </w:r>
    </w:p>
    <w:p>
      <w:pPr>
        <w:pStyle w:val="Normal"/>
        <w:framePr w:w="1020" w:hAnchor="page" w:vAnchor="page" w:x="11235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6,651.0 </w:t>
      </w:r>
    </w:p>
    <w:p>
      <w:pPr>
        <w:pStyle w:val="Normal"/>
        <w:framePr w:w="720" w:hAnchor="page" w:vAnchor="page" w:x="4659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6235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7819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9410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10987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1915" w:hAnchor="page" w:vAnchor="page" w:x="34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338" w:hAnchor="page" w:vAnchor="page" w:x="1741" w:y="2957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(1)</w:t>
      </w:r>
    </w:p>
    <w:p>
      <w:pPr>
        <w:pStyle w:val="Normal"/>
        <w:framePr w:w="1094" w:hAnchor="page" w:vAnchor="page" w:x="4503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289" w:hAnchor="page" w:vAnchor="page" w:x="5998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1094" w:hAnchor="page" w:vAnchor="page" w:x="7663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094" w:hAnchor="page" w:vAnchor="page" w:x="1003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2424" w:hAnchor="page" w:vAnchor="page" w:x="5525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135" w:hAnchor="page" w:vAnchor="page" w:x="9602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Six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7pt;margin-top:1pt;z-index:-167729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13pt;margin-top:436.35pt;z-index:-167728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13pt;margin-top:437.1pt;z-index:-167728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96.25pt;margin-top:436.35pt;z-index:-167728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13pt;margin-top:436.35pt;z-index:-167728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169.45pt;margin-top:91.1pt;z-index:-1677288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239.85pt;margin-top:103.1pt;z-index:-1677287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93.25pt;margin-top:223.2pt;z-index:-16772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93.25pt;margin-top:225.45pt;z-index:-16772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27.95pt;margin-top:209.7pt;z-index:-167728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27.95pt;margin-top:223.2pt;z-index:-167728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27.95pt;margin-top:225.45pt;z-index:-167728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21.95pt;margin-top:223.2pt;z-index:-16772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521.95pt;margin-top:225.45pt;z-index:-16772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515.2pt;margin-top:223.2pt;z-index:-16772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515.2pt;margin-top:225.45pt;z-index:-16772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448.35pt;margin-top:209.7pt;z-index:-167728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448.35pt;margin-top:223.2pt;z-index:-167728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448.35pt;margin-top:225.45pt;z-index:-167728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442.35pt;margin-top:223.2pt;z-index:-16772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442.35pt;margin-top:225.45pt;z-index:-16772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434.85pt;margin-top:223.2pt;z-index:-16772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434.85pt;margin-top:225.45pt;z-index:-16772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369.55pt;margin-top:209.7pt;z-index:-167728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369.55pt;margin-top:223.2pt;z-index:-167728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369.55pt;margin-top:225.45pt;z-index:-167728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363.55pt;margin-top:223.2pt;z-index:-16772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363.55pt;margin-top:225.45pt;z-index:-16772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356.05pt;margin-top:223.2pt;z-index:-16772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356.05pt;margin-top:225.45pt;z-index:-16772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290pt;margin-top:209.7pt;z-index:-167727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290pt;margin-top:223.2pt;z-index:-167727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290pt;margin-top:225.45pt;z-index:-167727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284pt;margin-top:223.2pt;z-index:-16772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284pt;margin-top:225.45pt;z-index:-16772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277.25pt;margin-top:223.2pt;z-index:-16772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277.25pt;margin-top:225.45pt;z-index:-16772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211.15pt;margin-top:209.7pt;z-index:-167727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211.15pt;margin-top:223.2pt;z-index:-167727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211.15pt;margin-top:225.45pt;z-index:-167727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205.15pt;margin-top:223.2pt;z-index:-16772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205.15pt;margin-top:225.45pt;z-index:-16772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593.25pt;margin-top:209.7pt;z-index:-16772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21.95pt;margin-top:209.7pt;z-index:-1677272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15.2pt;margin-top:209.7pt;z-index:-16772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442.35pt;margin-top:209.7pt;z-index:-167727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434.85pt;margin-top:209.7pt;z-index:-16772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363.55pt;margin-top:209.7pt;z-index:-1677271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356.05pt;margin-top:209.7pt;z-index:-16772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284pt;margin-top:209.7pt;z-index:-167727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277.25pt;margin-top:209.7pt;z-index:-16772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205.15pt;margin-top:209.7pt;z-index:-167726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21.95pt;margin-top:158.65pt;z-index:-167726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21.95pt;margin-top:172.15pt;z-index:-167726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516.7pt;margin-top:158.65pt;z-index:-16772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442.35pt;margin-top:172.15pt;z-index:-167726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363.55pt;margin-top:172.15pt;z-index:-167726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284pt;margin-top:172.15pt;z-index:-167726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205.15pt;margin-top:172.15pt;z-index:-16772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442.35pt;margin-top:158.65pt;z-index:-16772664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363.55pt;margin-top:145.1pt;z-index:-167726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363.55pt;margin-top:158.65pt;z-index:-167726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357.55pt;margin-top:145.1pt;z-index:-16772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284pt;margin-top:145.1pt;z-index:-167726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284pt;margin-top:158.65pt;z-index:-16772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278.75pt;margin-top:145.1pt;z-index:-16772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205.15pt;margin-top:158.65pt;z-index:-167726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42.35pt;margin-top:145.1pt;z-index:-16772632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205.15pt;margin-top:145.1pt;z-index:-16772628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16.25pt;margin-top:156.4pt;z-index:-16772624;width:7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94.75pt;margin-top:323.75pt;z-index:-16772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94.75pt;margin-top:326pt;z-index:-1677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03.15pt;margin-top:310.25pt;z-index:-16772612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03.15pt;margin-top:323.75pt;z-index:-16772608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03.15pt;margin-top:326pt;z-index:-16772604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497.15pt;margin-top:323.75pt;z-index:-16772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497.15pt;margin-top:326pt;z-index:-16772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491.15pt;margin-top:323.75pt;z-index:-16772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491.15pt;margin-top:326pt;z-index:-16772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400.35pt;margin-top:310.25pt;z-index:-16772584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400.35pt;margin-top:323.75pt;z-index:-16772580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400.35pt;margin-top:326pt;z-index:-16772576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394.3pt;margin-top:323.75pt;z-index:-16772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394.3pt;margin-top:326pt;z-index:-16772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388.3pt;margin-top:323.75pt;z-index:-16772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388.3pt;margin-top:326pt;z-index:-16772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297.5pt;margin-top:310.25pt;z-index:-16772556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297.5pt;margin-top:323.75pt;z-index:-16772552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297.5pt;margin-top:326pt;z-index:-16772548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291.5pt;margin-top:323.75pt;z-index:-16772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291.5pt;margin-top:326pt;z-index:-16772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94.75pt;margin-top:310.25pt;z-index:-16772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497.15pt;margin-top:310.25pt;z-index:-16772532;width:9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491.15pt;margin-top:310.25pt;z-index:-16772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394.3pt;margin-top:310.25pt;z-index:-16772524;width:9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388.3pt;margin-top:310.25pt;z-index:-16772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291.5pt;margin-top:310.25pt;z-index:-16772516;width:9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497.15pt;margin-top:272.75pt;z-index:-16772512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394.3pt;margin-top:272.75pt;z-index:-16772508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291.5pt;margin-top:272.75pt;z-index:-16772504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15.15pt;margin-top:270.5pt;z-index:-16772500;width: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</w:p>
    <w:p>
      <w:pPr>
        <w:pStyle w:val="Normal"/>
        <w:framePr w:w="1778" w:hAnchor="page" w:vAnchor="page" w:x="5459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24</w:t>
      </w:r>
    </w:p>
    <w:p>
      <w:pPr>
        <w:pStyle w:val="Normal"/>
        <w:framePr w:w="2750" w:hAnchor="page" w:vAnchor="page" w:x="518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640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441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9,242.6    $</w:t>
      </w:r>
    </w:p>
    <w:p>
      <w:pPr>
        <w:pStyle w:val="Normal"/>
        <w:framePr w:w="1020" w:hAnchor="page" w:vAnchor="page" w:x="11062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9,656.6 </w:t>
      </w:r>
    </w:p>
    <w:p>
      <w:pPr>
        <w:pStyle w:val="Normal"/>
        <w:framePr w:w="2647" w:hAnchor="page" w:vAnchor="page" w:x="518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691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37.2 </w:t>
      </w:r>
    </w:p>
    <w:p>
      <w:pPr>
        <w:pStyle w:val="Normal"/>
        <w:framePr w:w="720" w:hAnchor="page" w:vAnchor="page" w:x="11312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35.4 </w:t>
      </w:r>
    </w:p>
    <w:p>
      <w:pPr>
        <w:pStyle w:val="Normal"/>
        <w:framePr w:w="3884" w:hAnchor="page" w:vAnchor="page" w:x="518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441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2,972.4 </w:t>
      </w:r>
    </w:p>
    <w:p>
      <w:pPr>
        <w:pStyle w:val="Normal"/>
        <w:framePr w:w="1020" w:hAnchor="page" w:vAnchor="page" w:x="11062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3,136.7 </w:t>
      </w:r>
    </w:p>
    <w:p>
      <w:pPr>
        <w:pStyle w:val="Normal"/>
        <w:framePr w:w="1740" w:hAnchor="page" w:vAnchor="page" w:x="518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441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1,133.0 </w:t>
      </w:r>
    </w:p>
    <w:p>
      <w:pPr>
        <w:pStyle w:val="Normal"/>
        <w:framePr w:w="1020" w:hAnchor="page" w:vAnchor="page" w:x="11062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1,102.4 </w:t>
      </w:r>
    </w:p>
    <w:p>
      <w:pPr>
        <w:pStyle w:val="Normal"/>
        <w:framePr w:w="3714" w:hAnchor="page" w:vAnchor="page" w:x="518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840" w:hAnchor="page" w:vAnchor="page" w:x="9591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646.8 </w:t>
      </w:r>
    </w:p>
    <w:p>
      <w:pPr>
        <w:pStyle w:val="Normal"/>
        <w:framePr w:w="840" w:hAnchor="page" w:vAnchor="page" w:x="11212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913.5 </w:t>
      </w:r>
    </w:p>
    <w:p>
      <w:pPr>
        <w:pStyle w:val="Normal"/>
        <w:framePr w:w="2423" w:hAnchor="page" w:vAnchor="page" w:x="743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441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4,453.2 </w:t>
      </w:r>
    </w:p>
    <w:p>
      <w:pPr>
        <w:pStyle w:val="Normal"/>
        <w:framePr w:w="1020" w:hAnchor="page" w:vAnchor="page" w:x="11062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4,468.6 </w:t>
      </w:r>
    </w:p>
    <w:p>
      <w:pPr>
        <w:pStyle w:val="Normal"/>
        <w:framePr w:w="2480" w:hAnchor="page" w:vAnchor="page" w:x="518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441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1,283.7 </w:t>
      </w:r>
    </w:p>
    <w:p>
      <w:pPr>
        <w:pStyle w:val="Normal"/>
        <w:framePr w:w="1020" w:hAnchor="page" w:vAnchor="page" w:x="11062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1,473.2 </w:t>
      </w:r>
    </w:p>
    <w:p>
      <w:pPr>
        <w:pStyle w:val="Normal"/>
        <w:framePr w:w="2020" w:hAnchor="page" w:vAnchor="page" w:x="518" w:y="72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441" w:y="72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1,401.7 </w:t>
      </w:r>
    </w:p>
    <w:p>
      <w:pPr>
        <w:pStyle w:val="Normal"/>
        <w:framePr w:w="1020" w:hAnchor="page" w:vAnchor="page" w:x="11062" w:y="72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1,485.8 </w:t>
      </w:r>
    </w:p>
    <w:p>
      <w:pPr>
        <w:pStyle w:val="Normal"/>
        <w:framePr w:w="2553" w:hAnchor="page" w:vAnchor="page" w:x="518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441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1,446.2 </w:t>
      </w:r>
    </w:p>
    <w:p>
      <w:pPr>
        <w:pStyle w:val="Normal"/>
        <w:framePr w:w="1020" w:hAnchor="page" w:vAnchor="page" w:x="11062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1,355.8 </w:t>
      </w:r>
    </w:p>
    <w:p>
      <w:pPr>
        <w:pStyle w:val="Normal"/>
        <w:framePr w:w="5394" w:hAnchor="page" w:vAnchor="page" w:x="518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640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591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321.6    $</w:t>
      </w:r>
    </w:p>
    <w:p>
      <w:pPr>
        <w:pStyle w:val="Normal"/>
        <w:framePr w:w="840" w:hAnchor="page" w:vAnchor="page" w:x="11212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153.8 </w:t>
      </w:r>
    </w:p>
    <w:p>
      <w:pPr>
        <w:pStyle w:val="Normal"/>
        <w:framePr w:w="1350" w:hAnchor="page" w:vAnchor="page" w:x="518" w:y="62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640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441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9,242.6    $</w:t>
      </w:r>
    </w:p>
    <w:p>
      <w:pPr>
        <w:pStyle w:val="Normal"/>
        <w:framePr w:w="1020" w:hAnchor="page" w:vAnchor="page" w:x="11062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9,656.6 </w:t>
      </w:r>
    </w:p>
    <w:p>
      <w:pPr>
        <w:pStyle w:val="Normal"/>
        <w:framePr w:w="1407" w:hAnchor="page" w:vAnchor="page" w:x="518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441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1,636.8 </w:t>
      </w:r>
    </w:p>
    <w:p>
      <w:pPr>
        <w:pStyle w:val="Normal"/>
        <w:framePr w:w="1020" w:hAnchor="page" w:vAnchor="page" w:x="11062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1,588.7 </w:t>
      </w:r>
    </w:p>
    <w:p>
      <w:pPr>
        <w:pStyle w:val="Normal"/>
        <w:framePr w:w="2247" w:hAnchor="page" w:vAnchor="page" w:x="518" w:y="56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591" w:y="56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559.4 </w:t>
      </w:r>
    </w:p>
    <w:p>
      <w:pPr>
        <w:pStyle w:val="Normal"/>
        <w:framePr w:w="840" w:hAnchor="page" w:vAnchor="page" w:x="11212" w:y="56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601.6 </w:t>
      </w:r>
    </w:p>
    <w:p>
      <w:pPr>
        <w:pStyle w:val="Normal"/>
        <w:framePr w:w="3545" w:hAnchor="page" w:vAnchor="page" w:x="518" w:y="5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441" w:y="5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2,162.0 </w:t>
      </w:r>
    </w:p>
    <w:p>
      <w:pPr>
        <w:pStyle w:val="Normal"/>
        <w:framePr w:w="1020" w:hAnchor="page" w:vAnchor="page" w:x="11062" w:y="5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2,270.9 </w:t>
      </w:r>
    </w:p>
    <w:p>
      <w:pPr>
        <w:pStyle w:val="Normal"/>
        <w:framePr w:w="2090" w:hAnchor="page" w:vAnchor="page" w:x="743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441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4,884.4 </w:t>
      </w:r>
    </w:p>
    <w:p>
      <w:pPr>
        <w:pStyle w:val="Normal"/>
        <w:framePr w:w="1020" w:hAnchor="page" w:vAnchor="page" w:x="11062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5,195.4 </w:t>
      </w:r>
    </w:p>
    <w:p>
      <w:pPr>
        <w:pStyle w:val="Normal"/>
        <w:framePr w:w="2147" w:hAnchor="page" w:vAnchor="page" w:x="518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9591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761.6 </w:t>
      </w:r>
    </w:p>
    <w:p>
      <w:pPr>
        <w:pStyle w:val="Normal"/>
        <w:framePr w:w="840" w:hAnchor="page" w:vAnchor="page" w:x="11212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995.2 </w:t>
      </w:r>
    </w:p>
    <w:p>
      <w:pPr>
        <w:pStyle w:val="Normal"/>
        <w:framePr w:w="1734" w:hAnchor="page" w:vAnchor="page" w:x="518" w:y="43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441" w:y="43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1,132.8 </w:t>
      </w:r>
    </w:p>
    <w:p>
      <w:pPr>
        <w:pStyle w:val="Normal"/>
        <w:framePr w:w="1020" w:hAnchor="page" w:vAnchor="page" w:x="11062" w:y="43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1,100.3 </w:t>
      </w:r>
    </w:p>
    <w:p>
      <w:pPr>
        <w:pStyle w:val="Normal"/>
        <w:framePr w:w="2100" w:hAnchor="page" w:vAnchor="page" w:x="518" w:y="41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1011" w:hAnchor="page" w:vAnchor="page" w:x="9448" w:y="41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1,118.6 </w:t>
      </w:r>
    </w:p>
    <w:p>
      <w:pPr>
        <w:pStyle w:val="Normal"/>
        <w:framePr w:w="1020" w:hAnchor="page" w:vAnchor="page" w:x="11062" w:y="41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1,010.1 </w:t>
      </w:r>
    </w:p>
    <w:p>
      <w:pPr>
        <w:pStyle w:val="Normal"/>
        <w:framePr w:w="2345" w:hAnchor="page" w:vAnchor="page" w:x="518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441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1,163.2 </w:t>
      </w:r>
    </w:p>
    <w:p>
      <w:pPr>
        <w:pStyle w:val="Normal"/>
        <w:framePr w:w="1020" w:hAnchor="page" w:vAnchor="page" w:x="11062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1,138.1 </w:t>
      </w:r>
    </w:p>
    <w:p>
      <w:pPr>
        <w:pStyle w:val="Normal"/>
        <w:framePr w:w="2767" w:hAnchor="page" w:vAnchor="page" w:x="518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640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591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708.2    $</w:t>
      </w:r>
    </w:p>
    <w:p>
      <w:pPr>
        <w:pStyle w:val="Normal"/>
        <w:framePr w:w="840" w:hAnchor="page" w:vAnchor="page" w:x="11212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951.7 </w:t>
      </w:r>
    </w:p>
    <w:p>
      <w:pPr>
        <w:pStyle w:val="Normal"/>
        <w:framePr w:w="648" w:hAnchor="page" w:vAnchor="page" w:x="9190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10811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985" w:hAnchor="page" w:vAnchor="page" w:x="9050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476" w:hAnchor="page" w:vAnchor="page" w:x="10466" w:y="29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966" w:hAnchor="page" w:vAnchor="page" w:x="373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7pt;margin-top:1pt;z-index:-167724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13pt;margin-top:531.7pt;z-index:-167724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13pt;margin-top:532.45pt;z-index:-16772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96.25pt;margin-top:531.7pt;z-index:-167724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13pt;margin-top:531.7pt;z-index:-16772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169.45pt;margin-top:91.1pt;z-index:-1677247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185.7pt;margin-top:103.1pt;z-index:-16772472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430.35pt;margin-top:145.85pt;z-index:-16772468;width:77.05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585pt;margin-top:474.65pt;z-index:-16772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85pt;margin-top:476.9pt;z-index:-16772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17.45pt;margin-top:461.15pt;z-index:-167724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517.45pt;margin-top:474.65pt;z-index:-167724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17.45pt;margin-top:476.9pt;z-index:-167724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11.4pt;margin-top:474.65pt;z-index:-16772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11.4pt;margin-top:476.9pt;z-index:-16772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03.9pt;margin-top:474.65pt;z-index:-16772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03.9pt;margin-top:476.9pt;z-index:-16772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436.35pt;margin-top:461.15pt;z-index:-167724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436.35pt;margin-top:474.65pt;z-index:-16772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36.35pt;margin-top:476.9pt;z-index:-16772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430.35pt;margin-top:474.65pt;z-index:-16772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430.35pt;margin-top:476.9pt;z-index:-16772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85pt;margin-top:461.15pt;z-index:-16772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11.4pt;margin-top:461.15pt;z-index:-16772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03.9pt;margin-top:461.15pt;z-index:-16772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430.35pt;margin-top:461.15pt;z-index:-167723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85pt;margin-top:384.55pt;z-index:-16772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11.4pt;margin-top:384.55pt;z-index:-167723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03.9pt;margin-top:384.55pt;z-index:-16772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430.35pt;margin-top:384.55pt;z-index:-167723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11.4pt;margin-top:320pt;z-index:-167723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11.4pt;margin-top:322.25pt;z-index:-167723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430.35pt;margin-top:320pt;z-index:-167723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430.35pt;margin-top:322.25pt;z-index:-167723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85pt;margin-top:320pt;z-index:-16772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85pt;margin-top:322.25pt;z-index:-16772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17.45pt;margin-top:306.5pt;z-index:-167723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17.45pt;margin-top:320pt;z-index:-16772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17.45pt;margin-top:322.25pt;z-index:-16772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511.4pt;margin-top:320pt;z-index:-16772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11.4pt;margin-top:322.25pt;z-index:-16772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03.9pt;margin-top:320pt;z-index:-16772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03.9pt;margin-top:322.25pt;z-index:-1677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436.35pt;margin-top:306.5pt;z-index:-167723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36.35pt;margin-top:320pt;z-index:-167723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436.35pt;margin-top:322.25pt;z-index:-167723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30.35pt;margin-top:320pt;z-index:-16772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430.35pt;margin-top:322.25pt;z-index:-16772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85pt;margin-top:306.5pt;z-index:-16772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11.4pt;margin-top:306.5pt;z-index:-167723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03.9pt;margin-top:306.5pt;z-index:-16772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430.35pt;margin-top:306.5pt;z-index:-167722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85pt;margin-top:242.7pt;z-index:-16772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11.4pt;margin-top:242.7pt;z-index:-167722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03.9pt;margin-top:242.7pt;z-index:-16772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430.35pt;margin-top:242.7pt;z-index:-167722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11.4pt;margin-top:166.9pt;z-index:-167722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430.35pt;margin-top:166.9pt;z-index:-167722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</w:p>
    <w:p>
      <w:pPr>
        <w:pStyle w:val="Normal"/>
        <w:framePr w:w="1778" w:hAnchor="page" w:vAnchor="page" w:x="5459" w:y="161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1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24</w:t>
      </w:r>
    </w:p>
    <w:p>
      <w:pPr>
        <w:pStyle w:val="Normal"/>
        <w:framePr w:w="9005" w:hAnchor="page" w:vAnchor="page" w:x="280" w:y="114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(1) Working capital includes receivables, payables, inventories and other current assets and liabilities.</w:t>
      </w:r>
    </w:p>
    <w:p>
      <w:pPr>
        <w:pStyle w:val="Normal"/>
        <w:framePr w:w="3752" w:hAnchor="page" w:vAnchor="page" w:x="360" w:y="110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equivalents, end of period</w:t>
      </w:r>
    </w:p>
    <w:p>
      <w:pPr>
        <w:pStyle w:val="Normal"/>
        <w:framePr w:w="324" w:hAnchor="page" w:vAnchor="page" w:x="6755" w:y="109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8162" w:y="109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708.2     $</w:t>
      </w:r>
    </w:p>
    <w:p>
      <w:pPr>
        <w:pStyle w:val="Normal"/>
        <w:framePr w:w="1069" w:hAnchor="page" w:vAnchor="page" w:x="9798" w:y="109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708.2     $</w:t>
      </w:r>
    </w:p>
    <w:p>
      <w:pPr>
        <w:pStyle w:val="Normal"/>
        <w:framePr w:w="756" w:hAnchor="page" w:vAnchor="page" w:x="11419" w:y="109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585.2 </w:t>
      </w:r>
    </w:p>
    <w:p>
      <w:pPr>
        <w:pStyle w:val="Normal"/>
        <w:framePr w:w="4304" w:hAnchor="page" w:vAnchor="page" w:x="360" w:y="107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equivalents, beginning of period</w:t>
      </w:r>
    </w:p>
    <w:p>
      <w:pPr>
        <w:pStyle w:val="Normal"/>
        <w:framePr w:w="756" w:hAnchor="page" w:vAnchor="page" w:x="8162" w:y="107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696.8 </w:t>
      </w:r>
    </w:p>
    <w:p>
      <w:pPr>
        <w:pStyle w:val="Normal"/>
        <w:framePr w:w="756" w:hAnchor="page" w:vAnchor="page" w:x="9798" w:y="107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951.7 </w:t>
      </w:r>
    </w:p>
    <w:p>
      <w:pPr>
        <w:pStyle w:val="Normal"/>
        <w:framePr w:w="919" w:hAnchor="page" w:vAnchor="page" w:x="11284" w:y="1073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1,057.1 </w:t>
      </w:r>
    </w:p>
    <w:p>
      <w:pPr>
        <w:pStyle w:val="Normal"/>
        <w:framePr w:w="3380" w:hAnchor="page" w:vAnchor="page" w:x="585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Change in cash and cash equivalents</w:t>
      </w:r>
    </w:p>
    <w:p>
      <w:pPr>
        <w:pStyle w:val="Normal"/>
        <w:framePr w:w="640" w:hAnchor="page" w:vAnchor="page" w:x="8259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11.4 </w:t>
      </w:r>
    </w:p>
    <w:p>
      <w:pPr>
        <w:pStyle w:val="Normal"/>
        <w:framePr w:w="846" w:hAnchor="page" w:vAnchor="page" w:x="9723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(243.5)</w:t>
      </w:r>
    </w:p>
    <w:p>
      <w:pPr>
        <w:pStyle w:val="Normal"/>
        <w:framePr w:w="846" w:hAnchor="page" w:vAnchor="page" w:x="11345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(471.9)</w:t>
      </w:r>
    </w:p>
    <w:p>
      <w:pPr>
        <w:pStyle w:val="Normal"/>
        <w:framePr w:w="6509" w:hAnchor="page" w:vAnchor="page" w:x="585" w:y="102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Effect of changes in foreign exchange rates on cash and cash equivalents</w:t>
      </w:r>
    </w:p>
    <w:p>
      <w:pPr>
        <w:pStyle w:val="Normal"/>
        <w:framePr w:w="630" w:hAnchor="page" w:vAnchor="page" w:x="8267" w:y="102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(8.6)</w:t>
      </w:r>
    </w:p>
    <w:p>
      <w:pPr>
        <w:pStyle w:val="Normal"/>
        <w:framePr w:w="738" w:hAnchor="page" w:vAnchor="page" w:x="9813" w:y="102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(16.9)</w:t>
      </w:r>
    </w:p>
    <w:p>
      <w:pPr>
        <w:pStyle w:val="Normal"/>
        <w:framePr w:w="738" w:hAnchor="page" w:vAnchor="page" w:x="11435" w:y="102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(20.7)</w:t>
      </w:r>
    </w:p>
    <w:p>
      <w:pPr>
        <w:pStyle w:val="Normal"/>
        <w:framePr w:w="3398" w:hAnchor="page" w:vAnchor="page" w:x="360" w:y="99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846" w:hAnchor="page" w:vAnchor="page" w:x="8087" w:y="99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(161.7)</w:t>
      </w:r>
    </w:p>
    <w:p>
      <w:pPr>
        <w:pStyle w:val="Normal"/>
        <w:framePr w:w="846" w:hAnchor="page" w:vAnchor="page" w:x="9723" w:y="99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(417.9)</w:t>
      </w:r>
    </w:p>
    <w:p>
      <w:pPr>
        <w:pStyle w:val="Normal"/>
        <w:framePr w:w="846" w:hAnchor="page" w:vAnchor="page" w:x="11345" w:y="99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(141.8)</w:t>
      </w:r>
    </w:p>
    <w:p>
      <w:pPr>
        <w:pStyle w:val="Normal"/>
        <w:framePr w:w="2413" w:hAnchor="page" w:vAnchor="page" w:x="585" w:y="97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financing activities</w:t>
      </w:r>
    </w:p>
    <w:p>
      <w:pPr>
        <w:pStyle w:val="Normal"/>
        <w:framePr w:w="630" w:hAnchor="page" w:vAnchor="page" w:x="8267" w:y="97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(2.2)</w:t>
      </w:r>
    </w:p>
    <w:p>
      <w:pPr>
        <w:pStyle w:val="Normal"/>
        <w:framePr w:w="630" w:hAnchor="page" w:vAnchor="page" w:x="9903" w:y="97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(9.5)</w:t>
      </w:r>
    </w:p>
    <w:p>
      <w:pPr>
        <w:pStyle w:val="Normal"/>
        <w:framePr w:w="738" w:hAnchor="page" w:vAnchor="page" w:x="11435" w:y="97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(48.5)</w:t>
      </w:r>
    </w:p>
    <w:p>
      <w:pPr>
        <w:pStyle w:val="Normal"/>
        <w:framePr w:w="5829" w:hAnchor="page" w:vAnchor="page" w:x="585" w:y="95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Payments related to taxes withheld on share-based compensation</w:t>
      </w:r>
    </w:p>
    <w:p>
      <w:pPr>
        <w:pStyle w:val="Normal"/>
        <w:framePr w:w="486" w:hAnchor="page" w:vAnchor="page" w:x="8387" w:y="95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9813" w:y="95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(49.7)</w:t>
      </w:r>
    </w:p>
    <w:p>
      <w:pPr>
        <w:pStyle w:val="Normal"/>
        <w:framePr w:w="738" w:hAnchor="page" w:vAnchor="page" w:x="11435" w:y="95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(17.2)</w:t>
      </w:r>
    </w:p>
    <w:p>
      <w:pPr>
        <w:pStyle w:val="Normal"/>
        <w:framePr w:w="1783" w:hAnchor="page" w:vAnchor="page" w:x="585" w:y="92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Share repurchases</w:t>
      </w:r>
    </w:p>
    <w:p>
      <w:pPr>
        <w:pStyle w:val="Normal"/>
        <w:framePr w:w="846" w:hAnchor="page" w:vAnchor="page" w:x="8087" w:y="92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(100.0)</w:t>
      </w:r>
    </w:p>
    <w:p>
      <w:pPr>
        <w:pStyle w:val="Normal"/>
        <w:framePr w:w="846" w:hAnchor="page" w:vAnchor="page" w:x="9723" w:y="92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(250.1)</w:t>
      </w:r>
    </w:p>
    <w:p>
      <w:pPr>
        <w:pStyle w:val="Normal"/>
        <w:framePr w:w="846" w:hAnchor="page" w:vAnchor="page" w:x="11345" w:y="92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(100.0)</w:t>
      </w:r>
    </w:p>
    <w:p>
      <w:pPr>
        <w:pStyle w:val="Normal"/>
        <w:framePr w:w="1531" w:hAnchor="page" w:vAnchor="page" w:x="585" w:y="90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Dividends paid</w:t>
      </w:r>
    </w:p>
    <w:p>
      <w:pPr>
        <w:pStyle w:val="Normal"/>
        <w:framePr w:w="738" w:hAnchor="page" w:vAnchor="page" w:x="8177" w:y="90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(21.5)</w:t>
      </w:r>
    </w:p>
    <w:p>
      <w:pPr>
        <w:pStyle w:val="Normal"/>
        <w:framePr w:w="738" w:hAnchor="page" w:vAnchor="page" w:x="9813" w:y="90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(43.2)</w:t>
      </w:r>
    </w:p>
    <w:p>
      <w:pPr>
        <w:pStyle w:val="Normal"/>
        <w:framePr w:w="486" w:hAnchor="page" w:vAnchor="page" w:x="11645" w:y="90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3607" w:hAnchor="page" w:vAnchor="page" w:x="585" w:y="87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increase in revolving credit facility</w:t>
      </w:r>
    </w:p>
    <w:p>
      <w:pPr>
        <w:pStyle w:val="Normal"/>
        <w:framePr w:w="486" w:hAnchor="page" w:vAnchor="page" w:x="8387" w:y="87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023" w:y="87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510" w:y="87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50.0 </w:t>
      </w:r>
    </w:p>
    <w:p>
      <w:pPr>
        <w:pStyle w:val="Normal"/>
        <w:framePr w:w="2929" w:hAnchor="page" w:vAnchor="page" w:x="585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decrease in short-term debt</w:t>
      </w:r>
    </w:p>
    <w:p>
      <w:pPr>
        <w:pStyle w:val="Normal"/>
        <w:framePr w:w="738" w:hAnchor="page" w:vAnchor="page" w:x="8177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(38.0)</w:t>
      </w:r>
    </w:p>
    <w:p>
      <w:pPr>
        <w:pStyle w:val="Normal"/>
        <w:framePr w:w="738" w:hAnchor="page" w:vAnchor="page" w:x="9813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(65.4)</w:t>
      </w:r>
    </w:p>
    <w:p>
      <w:pPr>
        <w:pStyle w:val="Normal"/>
        <w:framePr w:w="738" w:hAnchor="page" w:vAnchor="page" w:x="11435" w:y="85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(26.1)</w:t>
      </w:r>
    </w:p>
    <w:p>
      <w:pPr>
        <w:pStyle w:val="Normal"/>
        <w:framePr w:w="3398" w:hAnchor="page" w:vAnchor="page" w:x="360" w:y="83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4340" w:hAnchor="page" w:vAnchor="page" w:x="360" w:y="77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(required) by investing activities</w:t>
      </w:r>
    </w:p>
    <w:p>
      <w:pPr>
        <w:pStyle w:val="Normal"/>
        <w:framePr w:w="738" w:hAnchor="page" w:vAnchor="page" w:x="8177" w:y="77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(49.2)</w:t>
      </w:r>
    </w:p>
    <w:p>
      <w:pPr>
        <w:pStyle w:val="Normal"/>
        <w:framePr w:w="648" w:hAnchor="page" w:vAnchor="page" w:x="9888" w:y="77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87.1 </w:t>
      </w:r>
    </w:p>
    <w:p>
      <w:pPr>
        <w:pStyle w:val="Normal"/>
        <w:framePr w:w="738" w:hAnchor="page" w:vAnchor="page" w:x="11435" w:y="77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(79.4)</w:t>
      </w:r>
    </w:p>
    <w:p>
      <w:pPr>
        <w:pStyle w:val="Normal"/>
        <w:framePr w:w="2389" w:hAnchor="page" w:vAnchor="page" w:x="585" w:y="75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investing activities</w:t>
      </w:r>
    </w:p>
    <w:p>
      <w:pPr>
        <w:pStyle w:val="Normal"/>
        <w:framePr w:w="540" w:hAnchor="page" w:vAnchor="page" w:x="8342" w:y="75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1.6 </w:t>
      </w:r>
    </w:p>
    <w:p>
      <w:pPr>
        <w:pStyle w:val="Normal"/>
        <w:framePr w:w="540" w:hAnchor="page" w:vAnchor="page" w:x="9978" w:y="75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3.8 </w:t>
      </w:r>
    </w:p>
    <w:p>
      <w:pPr>
        <w:pStyle w:val="Normal"/>
        <w:framePr w:w="648" w:hAnchor="page" w:vAnchor="page" w:x="11510" w:y="75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30.7 </w:t>
      </w:r>
    </w:p>
    <w:p>
      <w:pPr>
        <w:pStyle w:val="Normal"/>
        <w:framePr w:w="4983" w:hAnchor="page" w:vAnchor="page" w:x="585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sale of Measurement Solutions business</w:t>
      </w:r>
    </w:p>
    <w:p>
      <w:pPr>
        <w:pStyle w:val="Normal"/>
        <w:framePr w:w="486" w:hAnchor="page" w:vAnchor="page" w:x="8387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9798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186.1 </w:t>
      </w:r>
    </w:p>
    <w:p>
      <w:pPr>
        <w:pStyle w:val="Normal"/>
        <w:framePr w:w="486" w:hAnchor="page" w:vAnchor="page" w:x="11645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1999" w:hAnchor="page" w:vAnchor="page" w:x="585" w:y="702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Capital expenditures</w:t>
      </w:r>
    </w:p>
    <w:p>
      <w:pPr>
        <w:pStyle w:val="Normal"/>
        <w:framePr w:w="738" w:hAnchor="page" w:vAnchor="page" w:x="8177" w:y="702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(50.8)</w:t>
      </w:r>
    </w:p>
    <w:p>
      <w:pPr>
        <w:pStyle w:val="Normal"/>
        <w:framePr w:w="846" w:hAnchor="page" w:vAnchor="page" w:x="9723" w:y="702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(102.8)</w:t>
      </w:r>
    </w:p>
    <w:p>
      <w:pPr>
        <w:pStyle w:val="Normal"/>
        <w:framePr w:w="838" w:hAnchor="page" w:vAnchor="page" w:x="11351" w:y="702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(110.1)</w:t>
      </w:r>
    </w:p>
    <w:p>
      <w:pPr>
        <w:pStyle w:val="Normal"/>
        <w:framePr w:w="4340" w:hAnchor="page" w:vAnchor="page" w:x="360" w:y="67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(required) by investing activities</w:t>
      </w:r>
    </w:p>
    <w:p>
      <w:pPr>
        <w:pStyle w:val="Normal"/>
        <w:framePr w:w="4364" w:hAnchor="page" w:vAnchor="page" w:x="360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(required) by operating activities</w:t>
      </w:r>
    </w:p>
    <w:p>
      <w:pPr>
        <w:pStyle w:val="Normal"/>
        <w:framePr w:w="756" w:hAnchor="page" w:vAnchor="page" w:x="8162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230.9 </w:t>
      </w:r>
    </w:p>
    <w:p>
      <w:pPr>
        <w:pStyle w:val="Normal"/>
        <w:framePr w:w="756" w:hAnchor="page" w:vAnchor="page" w:x="9798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104.2 </w:t>
      </w:r>
    </w:p>
    <w:p>
      <w:pPr>
        <w:pStyle w:val="Normal"/>
        <w:framePr w:w="846" w:hAnchor="page" w:vAnchor="page" w:x="11345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(230.0)</w:t>
      </w:r>
    </w:p>
    <w:p>
      <w:pPr>
        <w:pStyle w:val="Normal"/>
        <w:framePr w:w="3926" w:hAnchor="page" w:vAnchor="page" w:x="585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non-current assets and liabilities, net</w:t>
      </w:r>
    </w:p>
    <w:p>
      <w:pPr>
        <w:pStyle w:val="Normal"/>
        <w:framePr w:w="648" w:hAnchor="page" w:vAnchor="page" w:x="8252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73.8 </w:t>
      </w:r>
    </w:p>
    <w:p>
      <w:pPr>
        <w:pStyle w:val="Normal"/>
        <w:framePr w:w="756" w:hAnchor="page" w:vAnchor="page" w:x="9798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121.8 </w:t>
      </w:r>
    </w:p>
    <w:p>
      <w:pPr>
        <w:pStyle w:val="Normal"/>
        <w:framePr w:w="738" w:hAnchor="page" w:vAnchor="page" w:x="11435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(41.2)</w:t>
      </w:r>
    </w:p>
    <w:p>
      <w:pPr>
        <w:pStyle w:val="Normal"/>
        <w:framePr w:w="1597" w:hAnchor="page" w:vAnchor="page" w:x="585" w:y="57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Working capital</w:t>
      </w:r>
    </w:p>
    <w:p>
      <w:pPr>
        <w:pStyle w:val="Normal"/>
        <w:framePr w:w="308" w:hAnchor="page" w:vAnchor="page" w:x="1736" w:y="5746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738" w:hAnchor="page" w:vAnchor="page" w:x="8177" w:y="57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(82.3)</w:t>
      </w:r>
    </w:p>
    <w:p>
      <w:pPr>
        <w:pStyle w:val="Normal"/>
        <w:framePr w:w="846" w:hAnchor="page" w:vAnchor="page" w:x="9723" w:y="57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(473.3)</w:t>
      </w:r>
    </w:p>
    <w:p>
      <w:pPr>
        <w:pStyle w:val="Normal"/>
        <w:framePr w:w="846" w:hAnchor="page" w:vAnchor="page" w:x="11345" w:y="57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(286.8)</w:t>
      </w:r>
    </w:p>
    <w:p>
      <w:pPr>
        <w:pStyle w:val="Normal"/>
        <w:framePr w:w="2437" w:hAnchor="page" w:vAnchor="page" w:x="585" w:y="55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non-cash items, net</w:t>
      </w:r>
    </w:p>
    <w:p>
      <w:pPr>
        <w:pStyle w:val="Normal"/>
        <w:framePr w:w="738" w:hAnchor="page" w:vAnchor="page" w:x="8177" w:y="55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(37.0)</w:t>
      </w:r>
    </w:p>
    <w:p>
      <w:pPr>
        <w:pStyle w:val="Normal"/>
        <w:framePr w:w="630" w:hAnchor="page" w:vAnchor="page" w:x="9903" w:y="55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(4.5)</w:t>
      </w:r>
    </w:p>
    <w:p>
      <w:pPr>
        <w:pStyle w:val="Normal"/>
        <w:framePr w:w="640" w:hAnchor="page" w:vAnchor="page" w:x="11516" w:y="55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11.9 </w:t>
      </w:r>
    </w:p>
    <w:p>
      <w:pPr>
        <w:pStyle w:val="Normal"/>
        <w:framePr w:w="5026" w:hAnchor="page" w:vAnchor="page" w:x="585" w:y="52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from equity affiliates, net of dividends received</w:t>
      </w:r>
    </w:p>
    <w:p>
      <w:pPr>
        <w:pStyle w:val="Normal"/>
        <w:framePr w:w="630" w:hAnchor="page" w:vAnchor="page" w:x="8267" w:y="52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(2.0)</w:t>
      </w:r>
    </w:p>
    <w:p>
      <w:pPr>
        <w:pStyle w:val="Normal"/>
        <w:framePr w:w="630" w:hAnchor="page" w:vAnchor="page" w:x="9903" w:y="52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(3.4)</w:t>
      </w:r>
    </w:p>
    <w:p>
      <w:pPr>
        <w:pStyle w:val="Normal"/>
        <w:framePr w:w="738" w:hAnchor="page" w:vAnchor="page" w:x="11435" w:y="52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(15.4)</w:t>
      </w:r>
    </w:p>
    <w:p>
      <w:pPr>
        <w:pStyle w:val="Normal"/>
        <w:framePr w:w="4791" w:hAnchor="page" w:vAnchor="page" w:x="585" w:y="50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8387" w:y="50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9813" w:y="50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486" w:hAnchor="page" w:vAnchor="page" w:x="11645" w:y="50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2845" w:hAnchor="page" w:vAnchor="page" w:x="585" w:y="47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648" w:hAnchor="page" w:vAnchor="page" w:x="8252" w:y="47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92.1 </w:t>
      </w:r>
    </w:p>
    <w:p>
      <w:pPr>
        <w:pStyle w:val="Normal"/>
        <w:framePr w:w="756" w:hAnchor="page" w:vAnchor="page" w:x="9798" w:y="47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191.6 </w:t>
      </w:r>
    </w:p>
    <w:p>
      <w:pPr>
        <w:pStyle w:val="Normal"/>
        <w:framePr w:w="756" w:hAnchor="page" w:vAnchor="page" w:x="11419" w:y="47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190.0 </w:t>
      </w:r>
    </w:p>
    <w:p>
      <w:pPr>
        <w:pStyle w:val="Normal"/>
        <w:framePr w:w="7012" w:hAnchor="page" w:vAnchor="page" w:x="360" w:y="4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Adjustments to reconcile income (loss) to cash required by operating activities</w:t>
      </w:r>
    </w:p>
    <w:p>
      <w:pPr>
        <w:pStyle w:val="Normal"/>
        <w:framePr w:w="1753" w:hAnchor="page" w:vAnchor="page" w:x="360" w:y="43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(loss)</w:t>
      </w:r>
    </w:p>
    <w:p>
      <w:pPr>
        <w:pStyle w:val="Normal"/>
        <w:framePr w:w="324" w:hAnchor="page" w:vAnchor="page" w:x="6755" w:y="43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8162" w:y="43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186.3     $</w:t>
      </w:r>
    </w:p>
    <w:p>
      <w:pPr>
        <w:pStyle w:val="Normal"/>
        <w:framePr w:w="1069" w:hAnchor="page" w:vAnchor="page" w:x="9798" w:y="43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347.2     $</w:t>
      </w:r>
    </w:p>
    <w:p>
      <w:pPr>
        <w:pStyle w:val="Normal"/>
        <w:framePr w:w="738" w:hAnchor="page" w:vAnchor="page" w:x="11435" w:y="43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(88.5)</w:t>
      </w:r>
    </w:p>
    <w:p>
      <w:pPr>
        <w:pStyle w:val="Normal"/>
        <w:framePr w:w="4364" w:hAnchor="page" w:vAnchor="page" w:x="360" w:y="40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(required) by operating activities</w:t>
      </w:r>
    </w:p>
    <w:p>
      <w:pPr>
        <w:pStyle w:val="Normal"/>
        <w:framePr w:w="648" w:hAnchor="page" w:vAnchor="page" w:x="7509" w:y="38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340" w:y="38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10969" w:y="38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985" w:hAnchor="page" w:vAnchor="page" w:x="7368" w:y="35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2745" w:hAnchor="page" w:vAnchor="page" w:x="9277" w:y="35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 June 30,</w:t>
      </w:r>
    </w:p>
    <w:p>
      <w:pPr>
        <w:pStyle w:val="Normal"/>
        <w:framePr w:w="2182" w:hAnchor="page" w:vAnchor="page" w:x="6870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863" w:hAnchor="page" w:vAnchor="page" w:x="5414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4118" w:hAnchor="page" w:vAnchor="page" w:x="4474" w:y="162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CONSOLIDATED STATEMENTS OF CASH FLOWS</w:t>
      </w:r>
    </w:p>
    <w:p>
      <w:pPr>
        <w:pStyle w:val="Normal"/>
        <w:framePr w:w="4722" w:hAnchor="page" w:vAnchor="page" w:x="4223" w:y="146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1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7pt;margin-top:1pt;z-index:-167722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13pt;margin-top:828.2pt;z-index:-16772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13pt;margin-top:828.95pt;z-index:-16772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96.25pt;margin-top:828.2pt;z-index:-16772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13pt;margin-top:828.2pt;z-index:-16772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210.15pt;margin-top:79.05pt;z-index:-1677224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222.7pt;margin-top:87.3pt;z-index:-16772240;width:1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92.5pt;margin-top:559.45pt;z-index:-16772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92.5pt;margin-top:561.7pt;z-index:-16772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24.95pt;margin-top:546.7pt;z-index:-167722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24.95pt;margin-top:559.45pt;z-index:-167722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24.95pt;margin-top:561.7pt;z-index:-167722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18.95pt;margin-top:559.45pt;z-index:-16772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18.95pt;margin-top:561.7pt;z-index:-16772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11.4pt;margin-top:559.45pt;z-index:-16772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11.4pt;margin-top:561.7pt;z-index:-16772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443.1pt;margin-top:546.7pt;z-index:-167722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443.1pt;margin-top:559.45pt;z-index:-167721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43.1pt;margin-top:561.7pt;z-index:-167721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437.1pt;margin-top:559.45pt;z-index:-16772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437.1pt;margin-top:561.7pt;z-index:-16772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429.6pt;margin-top:559.45pt;z-index:-16772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429.6pt;margin-top:561.7pt;z-index:-16772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341.8pt;margin-top:546.7pt;z-index:-16772172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341.8pt;margin-top:559.45pt;z-index:-1677216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341.8pt;margin-top:561.7pt;z-index:-16772164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335.8pt;margin-top:559.45pt;z-index:-16772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335.8pt;margin-top:561.7pt;z-index:-16772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92.5pt;margin-top:546.7pt;z-index:-16772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18.95pt;margin-top:546.7pt;z-index:-167721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11.4pt;margin-top:546.7pt;z-index:-16772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37.1pt;margin-top:546.7pt;z-index:-167721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29.6pt;margin-top:546.7pt;z-index:-16772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335.8pt;margin-top:546.7pt;z-index:-16772132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92.5pt;margin-top:497.15pt;z-index:-16772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92.5pt;margin-top:509.95pt;z-index:-16772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18.95pt;margin-top:497.15pt;z-index:-167721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518.95pt;margin-top:509.95pt;z-index:-167721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11.4pt;margin-top:497.15pt;z-index:-16772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11.4pt;margin-top:509.95pt;z-index:-16772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437.1pt;margin-top:497.15pt;z-index:-167721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437.1pt;margin-top:509.95pt;z-index:-167721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429.6pt;margin-top:497.15pt;z-index:-16772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429.6pt;margin-top:509.95pt;z-index:-16772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335.8pt;margin-top:497.15pt;z-index:-1677208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335.8pt;margin-top:509.95pt;z-index:-16772084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18.95pt;margin-top:398.1pt;z-index:-167720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437.1pt;margin-top:398.1pt;z-index:-167720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335.8pt;margin-top:398.1pt;z-index:-1677207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92.5pt;margin-top:385.3pt;z-index:-16772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92.5pt;margin-top:398.1pt;z-index:-16772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18.95pt;margin-top:385.3pt;z-index:-167720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18.95pt;margin-top:398.1pt;z-index:-167720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11.4pt;margin-top:385.3pt;z-index:-1677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11.4pt;margin-top:398.1pt;z-index:-16772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437.1pt;margin-top:385.3pt;z-index:-167720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437.1pt;margin-top:398.1pt;z-index:-167720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429.6pt;margin-top:385.3pt;z-index:-16772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29.6pt;margin-top:398.1pt;z-index:-16772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335.8pt;margin-top:385.3pt;z-index:-1677202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335.8pt;margin-top:398.1pt;z-index:-16772024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518.95pt;margin-top:322.25pt;z-index:-167720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37.1pt;margin-top:322.25pt;z-index:-1677201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335.8pt;margin-top:322.25pt;z-index:-1677201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92.5pt;margin-top:309.5pt;z-index:-16772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92.5pt;margin-top:322.25pt;z-index:-1677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18.95pt;margin-top:309.5pt;z-index:-16772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18.95pt;margin-top:322.25pt;z-index:-167719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11.4pt;margin-top:309.5pt;z-index:-16771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511.4pt;margin-top:322.25pt;z-index:-16771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37.1pt;margin-top:309.5pt;z-index:-16771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37.1pt;margin-top:322.25pt;z-index:-167719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29.6pt;margin-top:309.5pt;z-index:-16771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29.6pt;margin-top:322.25pt;z-index:-16771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335.8pt;margin-top:309.5pt;z-index:-1677196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335.8pt;margin-top:322.25pt;z-index:-16771964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18.95pt;margin-top:187.15pt;z-index:-167719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18.95pt;margin-top:201.4pt;z-index:-167719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12.9pt;margin-top:187.15pt;z-index:-16771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437.1pt;margin-top:201.4pt;z-index:-1677194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335.8pt;margin-top:201.4pt;z-index:-16771944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437.1pt;margin-top:187.15pt;z-index:-16771940;width:158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335.8pt;margin-top:187.15pt;z-index:-1677193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</w:p>
    <w:p>
      <w:pPr>
        <w:pStyle w:val="Normal"/>
        <w:framePr w:w="1778" w:hAnchor="page" w:vAnchor="page" w:x="5459" w:y="16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24</w:t>
      </w:r>
    </w:p>
    <w:p>
      <w:pPr>
        <w:pStyle w:val="Normal"/>
        <w:framePr w:w="6480" w:hAnchor="page" w:vAnchor="page" w:x="280" w:y="116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are treated as a penalty and as such, do not trigger tax charges or benefits.</w:t>
      </w:r>
    </w:p>
    <w:p>
      <w:pPr>
        <w:pStyle w:val="Normal"/>
        <w:framePr w:w="14202" w:hAnchor="page" w:vAnchor="page" w:x="280" w:y="114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*The non-recurring legal settlement charges reflect the impact of the resolution of all outstanding matters with the PNF (reference to Note 15 of the 10-Q). For taxation purposes the</w:t>
      </w:r>
    </w:p>
    <w:p>
      <w:pPr>
        <w:pStyle w:val="Normal"/>
        <w:framePr w:w="3023" w:hAnchor="page" w:vAnchor="page" w:x="300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earnings per share - diluted</w:t>
      </w:r>
    </w:p>
    <w:p>
      <w:pPr>
        <w:pStyle w:val="Normal"/>
        <w:framePr w:w="288" w:hAnchor="page" w:vAnchor="page" w:x="4218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320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0.43 </w:t>
      </w:r>
    </w:p>
    <w:p>
      <w:pPr>
        <w:pStyle w:val="Normal"/>
        <w:framePr w:w="288" w:hAnchor="page" w:vAnchor="page" w:x="5810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6926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0.22    $</w:t>
      </w:r>
    </w:p>
    <w:p>
      <w:pPr>
        <w:pStyle w:val="Normal"/>
        <w:framePr w:w="840" w:hAnchor="page" w:vAnchor="page" w:x="8487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0.10    $</w:t>
      </w:r>
    </w:p>
    <w:p>
      <w:pPr>
        <w:pStyle w:val="Normal"/>
        <w:framePr w:w="576" w:hAnchor="page" w:vAnchor="page" w:x="10019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0.65 </w:t>
      </w:r>
    </w:p>
    <w:p>
      <w:pPr>
        <w:pStyle w:val="Normal"/>
        <w:framePr w:w="288" w:hAnchor="page" w:vAnchor="page" w:x="10509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610" w:y="10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0.10 </w:t>
      </w:r>
    </w:p>
    <w:p>
      <w:pPr>
        <w:pStyle w:val="Normal"/>
        <w:framePr w:w="3508" w:hAnchor="page" w:vAnchor="page" w:x="300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 earnings (loss) per share - diluted</w:t>
      </w:r>
    </w:p>
    <w:p>
      <w:pPr>
        <w:pStyle w:val="Normal"/>
        <w:framePr w:w="288" w:hAnchor="page" w:vAnchor="page" w:x="4218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320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0.42 </w:t>
      </w:r>
    </w:p>
    <w:p>
      <w:pPr>
        <w:pStyle w:val="Normal"/>
        <w:framePr w:w="288" w:hAnchor="page" w:vAnchor="page" w:x="5810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6926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0.35    $</w:t>
      </w:r>
    </w:p>
    <w:p>
      <w:pPr>
        <w:pStyle w:val="Normal"/>
        <w:framePr w:w="920" w:hAnchor="page" w:vAnchor="page" w:x="8421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576" w:hAnchor="page" w:vAnchor="page" w:x="10019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0.78 </w:t>
      </w:r>
    </w:p>
    <w:p>
      <w:pPr>
        <w:pStyle w:val="Normal"/>
        <w:framePr w:w="288" w:hAnchor="page" w:vAnchor="page" w:x="10509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544" w:y="106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3620" w:hAnchor="page" w:vAnchor="page" w:x="300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Weighted diluted average shares outstanding</w:t>
      </w:r>
    </w:p>
    <w:p>
      <w:pPr>
        <w:pStyle w:val="Normal"/>
        <w:framePr w:w="672" w:hAnchor="page" w:vAnchor="page" w:x="5240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6846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446.3 </w:t>
      </w:r>
    </w:p>
    <w:p>
      <w:pPr>
        <w:pStyle w:val="Normal"/>
        <w:framePr w:w="672" w:hAnchor="page" w:vAnchor="page" w:x="8407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9939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443.2 </w:t>
      </w:r>
    </w:p>
    <w:p>
      <w:pPr>
        <w:pStyle w:val="Normal"/>
        <w:framePr w:w="672" w:hAnchor="page" w:vAnchor="page" w:x="11530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4252" w:hAnchor="page" w:vAnchor="page" w:x="300" w:y="9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net income attributable to TechnipFMC plc</w:t>
      </w:r>
    </w:p>
    <w:p>
      <w:pPr>
        <w:pStyle w:val="Normal"/>
        <w:framePr w:w="288" w:hAnchor="page" w:vAnchor="page" w:x="4218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240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188.9 </w:t>
      </w:r>
    </w:p>
    <w:p>
      <w:pPr>
        <w:pStyle w:val="Normal"/>
        <w:framePr w:w="288" w:hAnchor="page" w:vAnchor="page" w:x="5810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6926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97.6    $</w:t>
      </w:r>
    </w:p>
    <w:p>
      <w:pPr>
        <w:pStyle w:val="Normal"/>
        <w:framePr w:w="840" w:hAnchor="page" w:vAnchor="page" w:x="8487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44.8    $</w:t>
      </w:r>
    </w:p>
    <w:p>
      <w:pPr>
        <w:pStyle w:val="Normal"/>
        <w:framePr w:w="672" w:hAnchor="page" w:vAnchor="page" w:x="9939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286.5 </w:t>
      </w:r>
    </w:p>
    <w:p>
      <w:pPr>
        <w:pStyle w:val="Normal"/>
        <w:framePr w:w="288" w:hAnchor="page" w:vAnchor="page" w:x="10509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610" w:y="9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45.8 </w:t>
      </w:r>
    </w:p>
    <w:p>
      <w:pPr>
        <w:pStyle w:val="Normal"/>
        <w:framePr w:w="3688" w:hAnchor="page" w:vAnchor="page" w:x="420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impact of the charges and (credits) above</w:t>
      </w:r>
    </w:p>
    <w:p>
      <w:pPr>
        <w:pStyle w:val="Normal"/>
        <w:framePr w:w="432" w:hAnchor="page" w:vAnchor="page" w:x="5440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6926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10.7 </w:t>
      </w:r>
    </w:p>
    <w:p>
      <w:pPr>
        <w:pStyle w:val="Normal"/>
        <w:framePr w:w="480" w:hAnchor="page" w:vAnchor="page" w:x="8567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76" w:hAnchor="page" w:vAnchor="page" w:x="10019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10.7 </w:t>
      </w:r>
    </w:p>
    <w:p>
      <w:pPr>
        <w:pStyle w:val="Normal"/>
        <w:framePr w:w="480" w:hAnchor="page" w:vAnchor="page" w:x="11690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3275" w:hAnchor="page" w:vAnchor="page" w:x="420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5440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046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407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139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30" w:y="89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255" w:hAnchor="page" w:vAnchor="page" w:x="420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2" w:hAnchor="page" w:vAnchor="page" w:x="5440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6860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2" w:hAnchor="page" w:vAnchor="page" w:x="8607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9952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2" w:hAnchor="page" w:vAnchor="page" w:x="11730" w:y="87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16" w:hAnchor="page" w:vAnchor="page" w:x="420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5400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480" w:hAnchor="page" w:vAnchor="page" w:x="7006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480" w:hAnchor="page" w:vAnchor="page" w:x="8567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480" w:hAnchor="page" w:vAnchor="page" w:x="10099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480" w:hAnchor="page" w:vAnchor="page" w:x="11690" w:y="8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1884" w:hAnchor="page" w:vAnchor="page" w:x="300" w:y="8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4028" w:hAnchor="page" w:vAnchor="page" w:x="300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88" w:hAnchor="page" w:vAnchor="page" w:x="4218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240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288" w:hAnchor="page" w:vAnchor="page" w:x="5810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6846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157.1    $</w:t>
      </w:r>
    </w:p>
    <w:p>
      <w:pPr>
        <w:pStyle w:val="Normal"/>
        <w:framePr w:w="920" w:hAnchor="page" w:vAnchor="page" w:x="8421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(87.2)   $</w:t>
      </w:r>
    </w:p>
    <w:p>
      <w:pPr>
        <w:pStyle w:val="Normal"/>
        <w:framePr w:w="672" w:hAnchor="page" w:vAnchor="page" w:x="9939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343.6 </w:t>
      </w:r>
    </w:p>
    <w:p>
      <w:pPr>
        <w:pStyle w:val="Normal"/>
        <w:framePr w:w="288" w:hAnchor="page" w:vAnchor="page" w:x="10509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544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1307" w:hAnchor="page" w:vAnchor="page" w:x="4470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463" w:hAnchor="page" w:vAnchor="page" w:x="6003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1307" w:hAnchor="page" w:vAnchor="page" w:x="7637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307" w:hAnchor="page" w:vAnchor="page" w:x="9184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307" w:hAnchor="page" w:vAnchor="page" w:x="10760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38" w:hAnchor="page" w:vAnchor="page" w:x="5790" w:y="71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707" w:hAnchor="page" w:vAnchor="page" w:x="9812" w:y="71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4894" w:hAnchor="page" w:vAnchor="page" w:x="280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measures under GAAP to the non-GAAP financial measures.</w:t>
      </w:r>
    </w:p>
    <w:p>
      <w:pPr>
        <w:pStyle w:val="Normal"/>
        <w:framePr w:w="14201" w:hAnchor="page" w:vAnchor="page" w:x="280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not as a substitute for or superior to, other measures of financial performance prepared in accordance with GAAP. The following is a reconciliation of the most comparable financial</w:t>
      </w:r>
    </w:p>
    <w:p>
      <w:pPr>
        <w:pStyle w:val="Normal"/>
        <w:framePr w:w="14205" w:hAnchor="page" w:vAnchor="page" w:x="28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as performance measures in determining certain incentive compensation. The foregoing non-GAAP financial measures should be considered by investors in addition to,</w:t>
      </w:r>
    </w:p>
    <w:p>
      <w:pPr>
        <w:pStyle w:val="Normal"/>
        <w:framePr w:w="14200" w:hAnchor="page" w:vAnchor="page" w:x="280" w:y="54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business results and operating trends, and a means to evaluate TechnipFMC’s operations and consolidated results of operations period-over-period. These measures are also used by</w:t>
      </w:r>
    </w:p>
    <w:p>
      <w:pPr>
        <w:pStyle w:val="Normal"/>
        <w:framePr w:w="14197" w:hAnchor="page" w:vAnchor="page" w:x="280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believes that the exclusion of charges, credits and foreign exchange impacts from these financial measures provides a useful perspective on the Company’s underlying</w:t>
      </w:r>
    </w:p>
    <w:p>
      <w:pPr>
        <w:pStyle w:val="Normal"/>
        <w:framePr w:w="5459" w:hAnchor="page" w:vAnchor="page" w:x="280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carryforwards) and concluding on the valuation allowance positions.</w:t>
      </w:r>
    </w:p>
    <w:p>
      <w:pPr>
        <w:pStyle w:val="Normal"/>
        <w:framePr w:w="14205" w:hAnchor="page" w:vAnchor="page" w:x="280" w:y="48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 jurisdiction  in  which  the  item  has  been  recorded,  the  need  of  application  of  a  specific  tax  rate,  history  of  non-GAAP  taxable  income  positions  (i.e.  net  operating  loss</w:t>
      </w:r>
    </w:p>
    <w:p>
      <w:pPr>
        <w:pStyle w:val="Normal"/>
        <w:framePr w:w="14193" w:hAnchor="page" w:vAnchor="page" w:x="280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effect of each adjustment is calculated item by item, by reviewing the relevant jurisdictional tax rate to the pretax non-GAAP amounts, analyzing the nature of the item and/or the</w:t>
      </w:r>
    </w:p>
    <w:p>
      <w:pPr>
        <w:pStyle w:val="Normal"/>
        <w:framePr w:w="14197" w:hAnchor="page" w:vAnchor="page" w:x="280" w:y="45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Non-GAAP adjustments are presented on a gross basis and the tax impact of the non-GAAP adjustments is separately presented in the applicable reconciliation table. Estimates of the</w:t>
      </w:r>
    </w:p>
    <w:p>
      <w:pPr>
        <w:pStyle w:val="Normal"/>
        <w:framePr w:w="7329" w:hAnchor="page" w:vAnchor="page" w:x="280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and other, excluding charges and credits; and net debt are non-GAAP financial measures.</w:t>
      </w:r>
    </w:p>
    <w:p>
      <w:pPr>
        <w:pStyle w:val="Normal"/>
        <w:framePr w:w="14191" w:hAnchor="page" w:vAnchor="page" w:x="28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gains or losses, net; Adjusted EBITDA margin; Adjusted EBITDA margin, excluding foreign exchange, net); Corporate expense, excluding charges and credits; Foreign exchange,</w:t>
      </w:r>
    </w:p>
    <w:p>
      <w:pPr>
        <w:pStyle w:val="Normal"/>
        <w:framePr w:w="14193" w:hAnchor="page" w:vAnchor="page" w:x="280" w:y="36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before net interest expense, income taxes, depreciation and amortization, excluding charges and credits (“Adjusted EBITDA”); and Adjusted EBITDA, excluding foreign exchange</w:t>
      </w:r>
    </w:p>
    <w:p>
      <w:pPr>
        <w:pStyle w:val="Normal"/>
        <w:framePr w:w="14204" w:hAnchor="page" w:vAnchor="page" w:x="280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attributable to TechnipFMC plc, excluding charges and credits, as well as measures derived from it (including Diluted EPS, excluding charges and credits; Earnings</w:t>
      </w:r>
    </w:p>
    <w:p>
      <w:pPr>
        <w:pStyle w:val="Normal"/>
        <w:framePr w:w="14193" w:hAnchor="page" w:vAnchor="page" w:x="280" w:y="32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financial measures (as defined in Item 10 of Regulation S-K of the Securities Exchange Act of 1934, as amended) and describes performance on a year-over-year or sequential basis.</w:t>
      </w:r>
    </w:p>
    <w:p>
      <w:pPr>
        <w:pStyle w:val="Normal"/>
        <w:framePr w:w="14180" w:hAnchor="page" w:vAnchor="page" w:x="280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In addition to financial results determined in accordance with U.S. generally accepted accounting principles (GAAP), the second quarter 2024 Earnings Release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also includes non-GAAP</w:t>
      </w:r>
    </w:p>
    <w:p>
      <w:pPr>
        <w:pStyle w:val="Normal"/>
        <w:framePr w:w="3730" w:hAnchor="page" w:vAnchor="page" w:x="4641" w:y="2383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(In millions, except per share data, unaudited)</w:t>
      </w:r>
    </w:p>
    <w:p>
      <w:pPr>
        <w:pStyle w:val="Normal"/>
        <w:framePr w:w="5670" w:hAnchor="page" w:vAnchor="page" w:x="3827" w:y="219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203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6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7pt;margin-top:1pt;z-index:-167719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13pt;margin-top:868.75pt;z-index:-167719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13pt;margin-top:869.5pt;z-index:-167719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96.25pt;margin-top:868.75pt;z-index:-167719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13pt;margin-top:868.75pt;z-index:-167719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210.15pt;margin-top:107.6pt;z-index:-1677191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190.35pt;margin-top:115.85pt;z-index:-1677190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23.45pt;margin-top:490.4pt;z-index:-167719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23.45pt;margin-top:492.65pt;z-index:-167719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45.35pt;margin-top:490.4pt;z-index:-167718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445.35pt;margin-top:492.65pt;z-index:-1677189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367.3pt;margin-top:490.4pt;z-index:-167718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367.3pt;margin-top:492.65pt;z-index:-167718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288.5pt;margin-top:490.4pt;z-index:-167718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288.5pt;margin-top:492.65pt;z-index:-167718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208.9pt;margin-top:490.4pt;z-index:-167718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208.9pt;margin-top:492.65pt;z-index:-167718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95.5pt;margin-top:478.4pt;z-index:-16771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95.5pt;margin-top:490.4pt;z-index:-16771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95.5pt;margin-top:492.65pt;z-index:-16771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28.7pt;margin-top:478.4pt;z-index:-167718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28.7pt;margin-top:490.4pt;z-index:-167718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28.7pt;margin-top:492.65pt;z-index:-167718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23.45pt;margin-top:490.4pt;z-index:-16771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23.45pt;margin-top:492.65pt;z-index:-16771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15.95pt;margin-top:478.4pt;z-index:-16771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15.95pt;margin-top:490.4pt;z-index:-16771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15.95pt;margin-top:492.65pt;z-index:-16771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450.6pt;margin-top:478.4pt;z-index:-167718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450.6pt;margin-top:490.4pt;z-index:-167718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450.6pt;margin-top:492.65pt;z-index:-167718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45.35pt;margin-top:490.4pt;z-index:-16771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445.35pt;margin-top:492.65pt;z-index:-16771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439.35pt;margin-top:478.4pt;z-index:-16771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439.35pt;margin-top:490.4pt;z-index:-16771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39.35pt;margin-top:492.65pt;z-index:-16771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372.55pt;margin-top:478.4pt;z-index:-16771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372.55pt;margin-top:490.4pt;z-index:-167717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372.55pt;margin-top:492.65pt;z-index:-16771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367.3pt;margin-top:490.4pt;z-index:-16771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367.3pt;margin-top:492.65pt;z-index:-16771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361.3pt;margin-top:478.4pt;z-index:-16771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361.3pt;margin-top:490.4pt;z-index:-16771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361.3pt;margin-top:492.65pt;z-index:-16771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293.75pt;margin-top:478.4pt;z-index:-16771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293.75pt;margin-top:490.4pt;z-index:-167717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293.75pt;margin-top:492.65pt;z-index:-167717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288.5pt;margin-top:490.4pt;z-index:-16771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288.5pt;margin-top:492.65pt;z-index:-16771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281pt;margin-top:478.4pt;z-index:-16771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281pt;margin-top:490.4pt;z-index:-16771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281pt;margin-top:492.65pt;z-index:-16771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214.15pt;margin-top:478.4pt;z-index:-16771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214.15pt;margin-top:490.4pt;z-index:-16771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214.15pt;margin-top:492.65pt;z-index:-16771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208.9pt;margin-top:490.4pt;z-index:-16771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208.9pt;margin-top:492.65pt;z-index:-16771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523.45pt;margin-top:478.4pt;z-index:-16771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445.35pt;margin-top:478.4pt;z-index:-1677170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367.3pt;margin-top:478.4pt;z-index:-167716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288.5pt;margin-top:478.4pt;z-index:-167716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208.9pt;margin-top:478.4pt;z-index:-167716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23.45pt;margin-top:365.8pt;z-index:-167716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23.45pt;margin-top:377.8pt;z-index:-167716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17.45pt;margin-top:365.8pt;z-index:-16771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45.35pt;margin-top:377.8pt;z-index:-1677167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367.3pt;margin-top:365.8pt;z-index:-16771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367.3pt;margin-top:377.8pt;z-index:-167716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362.8pt;margin-top:365.8pt;z-index:-167716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288.5pt;margin-top:365.8pt;z-index:-167716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288.5pt;margin-top:377.8pt;z-index:-167716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282.5pt;margin-top:365.8pt;z-index:-16771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208.9pt;margin-top:377.8pt;z-index:-16771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45.35pt;margin-top:353.8pt;z-index:-16771640;width:15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45.35pt;margin-top:365.8pt;z-index:-16771636;width:15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208.9pt;margin-top:353.8pt;z-index:-16771632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208.9pt;margin-top:365.8pt;z-index:-16771628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95.5pt;margin-top:353.8pt;z-index:-16771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28.7pt;margin-top:353.8pt;z-index:-167716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23.45pt;margin-top:353.8pt;z-index:-16771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21.95pt;margin-top:353.8pt;z-index:-1677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18.95pt;margin-top:353.8pt;z-index:-167716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17.45pt;margin-top:353.8pt;z-index:-16771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15.95pt;margin-top:353.8pt;z-index:-16771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50.6pt;margin-top:353.8pt;z-index:-167715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445.35pt;margin-top:353.8pt;z-index:-16771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439.35pt;margin-top:353.8pt;z-index:-16771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372.55pt;margin-top:353.8pt;z-index:-167715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67.3pt;margin-top:353.8pt;z-index:-16771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365.8pt;margin-top:353.8pt;z-index:-16771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364.3pt;margin-top:353.8pt;z-index:-16771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362.8pt;margin-top:353.8pt;z-index:-16771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361.3pt;margin-top:353.8pt;z-index:-16771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293.75pt;margin-top:353.8pt;z-index:-167715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288.5pt;margin-top:353.8pt;z-index:-16771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287pt;margin-top:353.8pt;z-index:-16771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284pt;margin-top:353.8pt;z-index:-167715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282.5pt;margin-top:353.8pt;z-index:-1677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281pt;margin-top:353.8pt;z-index:-16771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214.15pt;margin-top:353.8pt;z-index:-167715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208.9pt;margin-top:353.8pt;z-index:-16771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</w:p>
    <w:p>
      <w:pPr>
        <w:pStyle w:val="Normal"/>
        <w:framePr w:w="1778" w:hAnchor="page" w:vAnchor="page" w:x="5459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24</w:t>
      </w:r>
    </w:p>
    <w:p>
      <w:pPr>
        <w:pStyle w:val="Normal"/>
        <w:framePr w:w="6480" w:hAnchor="page" w:vAnchor="page" w:x="280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are treated as a penalty and as such, do not trigger tax charges or benefits.</w:t>
      </w:r>
    </w:p>
    <w:p>
      <w:pPr>
        <w:pStyle w:val="Normal"/>
        <w:framePr w:w="14202" w:hAnchor="page" w:vAnchor="page" w:x="280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*The non-recurring legal settlement charges reflect the impact of the resolution of all outstanding matters with the PNF (reference to Note 15 of the 10-Q). For taxation purposes the</w:t>
      </w:r>
    </w:p>
    <w:p>
      <w:pPr>
        <w:pStyle w:val="Normal"/>
        <w:framePr w:w="4196" w:hAnchor="page" w:vAnchor="page" w:x="300" w:y="68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3948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029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379.1 </w:t>
      </w:r>
    </w:p>
    <w:p>
      <w:pPr>
        <w:pStyle w:val="Normal"/>
        <w:framePr w:w="288" w:hAnchor="page" w:vAnchor="page" w:x="5599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6681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257.1    $</w:t>
      </w:r>
    </w:p>
    <w:p>
      <w:pPr>
        <w:pStyle w:val="Normal"/>
        <w:framePr w:w="936" w:hAnchor="page" w:vAnchor="page" w:x="8272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254.2    $</w:t>
      </w:r>
    </w:p>
    <w:p>
      <w:pPr>
        <w:pStyle w:val="Normal"/>
        <w:framePr w:w="672" w:hAnchor="page" w:vAnchor="page" w:x="9864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636.2 </w:t>
      </w:r>
    </w:p>
    <w:p>
      <w:pPr>
        <w:pStyle w:val="Normal"/>
        <w:framePr w:w="288" w:hAnchor="page" w:vAnchor="page" w:x="10434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68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409.6 </w:t>
      </w:r>
    </w:p>
    <w:p>
      <w:pPr>
        <w:pStyle w:val="Normal"/>
        <w:framePr w:w="1893" w:hAnchor="page" w:vAnchor="page" w:x="300" w:y="65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576" w:hAnchor="page" w:vAnchor="page" w:x="5109" w:y="65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17.7 </w:t>
      </w:r>
    </w:p>
    <w:p>
      <w:pPr>
        <w:pStyle w:val="Normal"/>
        <w:framePr w:w="480" w:hAnchor="page" w:vAnchor="page" w:x="6841" w:y="65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576" w:hAnchor="page" w:vAnchor="page" w:x="8352" w:y="65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576" w:hAnchor="page" w:vAnchor="page" w:x="9944" w:y="65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22.2 </w:t>
      </w:r>
    </w:p>
    <w:p>
      <w:pPr>
        <w:pStyle w:val="Normal"/>
        <w:framePr w:w="576" w:hAnchor="page" w:vAnchor="page" w:x="11610" w:y="65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46.2 </w:t>
      </w:r>
    </w:p>
    <w:p>
      <w:pPr>
        <w:pStyle w:val="Normal"/>
        <w:framePr w:w="1637" w:hAnchor="page" w:vAnchor="page" w:x="300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3948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029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361.4 </w:t>
      </w:r>
    </w:p>
    <w:p>
      <w:pPr>
        <w:pStyle w:val="Normal"/>
        <w:framePr w:w="288" w:hAnchor="page" w:vAnchor="page" w:x="5599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6681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252.6    $</w:t>
      </w:r>
    </w:p>
    <w:p>
      <w:pPr>
        <w:pStyle w:val="Normal"/>
        <w:framePr w:w="936" w:hAnchor="page" w:vAnchor="page" w:x="8272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205.9    $</w:t>
      </w:r>
    </w:p>
    <w:p>
      <w:pPr>
        <w:pStyle w:val="Normal"/>
        <w:framePr w:w="672" w:hAnchor="page" w:vAnchor="page" w:x="9864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614.0 </w:t>
      </w:r>
    </w:p>
    <w:p>
      <w:pPr>
        <w:pStyle w:val="Normal"/>
        <w:framePr w:w="288" w:hAnchor="page" w:vAnchor="page" w:x="10434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363.4 </w:t>
      </w:r>
    </w:p>
    <w:p>
      <w:pPr>
        <w:pStyle w:val="Normal"/>
        <w:framePr w:w="3275" w:hAnchor="page" w:vAnchor="page" w:x="420" w:y="57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5230" w:y="57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881" w:y="57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272" w:y="57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064" w:y="57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30" w:y="57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255" w:hAnchor="page" w:vAnchor="page" w:x="420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2" w:hAnchor="page" w:vAnchor="page" w:x="5230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6694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2" w:hAnchor="page" w:vAnchor="page" w:x="8472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9877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2" w:hAnchor="page" w:vAnchor="page" w:x="11730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16" w:hAnchor="page" w:vAnchor="page" w:x="420" w:y="53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5189" w:y="53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480" w:hAnchor="page" w:vAnchor="page" w:x="6841" w:y="53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480" w:hAnchor="page" w:vAnchor="page" w:x="8432" w:y="53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480" w:hAnchor="page" w:vAnchor="page" w:x="10024" w:y="53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480" w:hAnchor="page" w:vAnchor="page" w:x="11690" w:y="53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2527" w:hAnchor="page" w:vAnchor="page" w:x="420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5109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92.1 </w:t>
      </w:r>
    </w:p>
    <w:p>
      <w:pPr>
        <w:pStyle w:val="Normal"/>
        <w:framePr w:w="576" w:hAnchor="page" w:vAnchor="page" w:x="6761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99.5 </w:t>
      </w:r>
    </w:p>
    <w:p>
      <w:pPr>
        <w:pStyle w:val="Normal"/>
        <w:framePr w:w="576" w:hAnchor="page" w:vAnchor="page" w:x="8352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97.0 </w:t>
      </w:r>
    </w:p>
    <w:p>
      <w:pPr>
        <w:pStyle w:val="Normal"/>
        <w:framePr w:w="672" w:hAnchor="page" w:vAnchor="page" w:x="9864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191.6 </w:t>
      </w:r>
    </w:p>
    <w:p>
      <w:pPr>
        <w:pStyle w:val="Normal"/>
        <w:framePr w:w="672" w:hAnchor="page" w:vAnchor="page" w:x="11530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190.0 </w:t>
      </w:r>
    </w:p>
    <w:p>
      <w:pPr>
        <w:pStyle w:val="Normal"/>
        <w:framePr w:w="1749" w:hAnchor="page" w:vAnchor="page" w:x="420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576" w:hAnchor="page" w:vAnchor="page" w:x="5109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21.4 </w:t>
      </w:r>
    </w:p>
    <w:p>
      <w:pPr>
        <w:pStyle w:val="Normal"/>
        <w:framePr w:w="576" w:hAnchor="page" w:vAnchor="page" w:x="6761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576" w:hAnchor="page" w:vAnchor="page" w:x="8352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30.3 </w:t>
      </w:r>
    </w:p>
    <w:p>
      <w:pPr>
        <w:pStyle w:val="Normal"/>
        <w:framePr w:w="576" w:hAnchor="page" w:vAnchor="page" w:x="9944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34.1 </w:t>
      </w:r>
    </w:p>
    <w:p>
      <w:pPr>
        <w:pStyle w:val="Normal"/>
        <w:framePr w:w="576" w:hAnchor="page" w:vAnchor="page" w:x="11610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49.0 </w:t>
      </w:r>
    </w:p>
    <w:p>
      <w:pPr>
        <w:pStyle w:val="Normal"/>
        <w:framePr w:w="2095" w:hAnchor="page" w:vAnchor="page" w:x="420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Provision for income tax</w:t>
      </w:r>
    </w:p>
    <w:p>
      <w:pPr>
        <w:pStyle w:val="Normal"/>
        <w:framePr w:w="576" w:hAnchor="page" w:vAnchor="page" w:x="5109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59.2 </w:t>
      </w:r>
    </w:p>
    <w:p>
      <w:pPr>
        <w:pStyle w:val="Normal"/>
        <w:framePr w:w="576" w:hAnchor="page" w:vAnchor="page" w:x="6761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576" w:hAnchor="page" w:vAnchor="page" w:x="8352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43.3 </w:t>
      </w:r>
    </w:p>
    <w:p>
      <w:pPr>
        <w:pStyle w:val="Normal"/>
        <w:framePr w:w="672" w:hAnchor="page" w:vAnchor="page" w:x="9864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108.9 </w:t>
      </w:r>
    </w:p>
    <w:p>
      <w:pPr>
        <w:pStyle w:val="Normal"/>
        <w:framePr w:w="576" w:hAnchor="page" w:vAnchor="page" w:x="11610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80.7 </w:t>
      </w:r>
    </w:p>
    <w:p>
      <w:pPr>
        <w:pStyle w:val="Normal"/>
        <w:framePr w:w="832" w:hAnchor="page" w:vAnchor="page" w:x="42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560" w:hAnchor="page" w:vAnchor="page" w:x="5123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80" w:hAnchor="page" w:vAnchor="page" w:x="6841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60" w:hAnchor="page" w:vAnchor="page" w:x="8366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(9.1)</w:t>
      </w:r>
    </w:p>
    <w:p>
      <w:pPr>
        <w:pStyle w:val="Normal"/>
        <w:framePr w:w="480" w:hAnchor="page" w:vAnchor="page" w:x="10024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560" w:hAnchor="page" w:vAnchor="page" w:x="11624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3604" w:hAnchor="page" w:vAnchor="page" w:x="420" w:y="42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attributable to non-controlling</w:t>
      </w:r>
    </w:p>
    <w:p>
      <w:pPr>
        <w:pStyle w:val="Normal"/>
        <w:framePr w:w="4028" w:hAnchor="page" w:vAnchor="page" w:x="30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88" w:hAnchor="page" w:vAnchor="page" w:x="3948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029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288" w:hAnchor="page" w:vAnchor="page" w:x="5599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6681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157.1    $</w:t>
      </w:r>
    </w:p>
    <w:p>
      <w:pPr>
        <w:pStyle w:val="Normal"/>
        <w:framePr w:w="920" w:hAnchor="page" w:vAnchor="page" w:x="8286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(87.2)   $</w:t>
      </w:r>
    </w:p>
    <w:p>
      <w:pPr>
        <w:pStyle w:val="Normal"/>
        <w:framePr w:w="672" w:hAnchor="page" w:vAnchor="page" w:x="9864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343.6 </w:t>
      </w:r>
    </w:p>
    <w:p>
      <w:pPr>
        <w:pStyle w:val="Normal"/>
        <w:framePr w:w="288" w:hAnchor="page" w:vAnchor="page" w:x="10434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544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1307" w:hAnchor="page" w:vAnchor="page" w:x="4229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463" w:hAnchor="page" w:vAnchor="page" w:x="5816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1307" w:hAnchor="page" w:vAnchor="page" w:x="7487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307" w:hAnchor="page" w:vAnchor="page" w:x="9078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307" w:hAnchor="page" w:vAnchor="page" w:x="10722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38" w:hAnchor="page" w:vAnchor="page" w:x="5588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707" w:hAnchor="page" w:vAnchor="page" w:x="9745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128" w:hAnchor="page" w:vAnchor="page" w:x="5313" w:y="20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(In millions, unaudited)</w:t>
      </w:r>
    </w:p>
    <w:p>
      <w:pPr>
        <w:pStyle w:val="Normal"/>
        <w:framePr w:w="6478" w:hAnchor="page" w:vAnchor="page" w:x="3501" w:y="18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RECONCILIATION OF GAAP TO NON-GAAP FINANCIAL MEASURES</w:t>
      </w:r>
    </w:p>
    <w:p>
      <w:pPr>
        <w:pStyle w:val="Normal"/>
        <w:framePr w:w="5394" w:hAnchor="page" w:vAnchor="page" w:x="3953" w:y="16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7pt;margin-top:1pt;z-index:-167715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13pt;margin-top:454.4pt;z-index:-16771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13pt;margin-top:455.15pt;z-index:-167715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96.25pt;margin-top:454.4pt;z-index:-16771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13pt;margin-top:454.4pt;z-index:-167715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196.65pt;margin-top:88.85pt;z-index:-16771508;width:21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174.05pt;margin-top:98.6pt;z-index:-16771504;width:2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595.5pt;margin-top:351.55pt;z-index:-16771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95.5pt;margin-top:353.8pt;z-index:-16771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24.95pt;margin-top:339.55pt;z-index:-1677149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24.95pt;margin-top:351.55pt;z-index:-1677148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24.95pt;margin-top:353.8pt;z-index:-1677148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519.7pt;margin-top:351.55pt;z-index:-16771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19.7pt;margin-top:353.8pt;z-index:-16771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512.15pt;margin-top:351.55pt;z-index:-16771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512.15pt;margin-top:353.8pt;z-index:-16771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443.85pt;margin-top:339.55pt;z-index:-167714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443.85pt;margin-top:351.55pt;z-index:-167714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443.85pt;margin-top:353.8pt;z-index:-167714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438.6pt;margin-top:351.55pt;z-index:-16771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438.6pt;margin-top:353.8pt;z-index:-167714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432.6pt;margin-top:351.55pt;z-index:-1677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432.6pt;margin-top:353.8pt;z-index:-16771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364.3pt;margin-top:339.55pt;z-index:-167714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364.3pt;margin-top:351.55pt;z-index:-167714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364.3pt;margin-top:353.8pt;z-index:-167714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359.05pt;margin-top:351.55pt;z-index:-167714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359.05pt;margin-top:353.8pt;z-index:-167714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353.05pt;margin-top:351.55pt;z-index:-16771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353.05pt;margin-top:353.8pt;z-index:-16771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283.25pt;margin-top:339.55pt;z-index:-1677140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283.25pt;margin-top:351.55pt;z-index:-1677140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283.25pt;margin-top:353.8pt;z-index:-1677140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278pt;margin-top:351.55pt;z-index:-167713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278pt;margin-top:353.8pt;z-index:-167713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270.45pt;margin-top:351.55pt;z-index:-1677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270.45pt;margin-top:353.8pt;z-index:-16771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200.65pt;margin-top:339.55pt;z-index:-1677138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200.65pt;margin-top:351.55pt;z-index:-1677137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200.65pt;margin-top:353.8pt;z-index:-1677137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195.4pt;margin-top:351.55pt;z-index:-16771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195.4pt;margin-top:353.8pt;z-index:-167713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95.5pt;margin-top:339.55pt;z-index:-16771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19.7pt;margin-top:339.55pt;z-index:-167713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12.15pt;margin-top:339.55pt;z-index:-16771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438.6pt;margin-top:339.55pt;z-index:-16771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432.6pt;margin-top:339.55pt;z-index:-16771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359.05pt;margin-top:339.55pt;z-index:-167713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353.05pt;margin-top:339.55pt;z-index:-16771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278pt;margin-top:339.55pt;z-index:-167713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270.45pt;margin-top:339.55pt;z-index:-16771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195.4pt;margin-top:339.55pt;z-index:-167713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595.5pt;margin-top:307.25pt;z-index:-16771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524.95pt;margin-top:307.25pt;z-index:-1677131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512.15pt;margin-top:307.25pt;z-index:-16771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443.85pt;margin-top:307.25pt;z-index:-167713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432.6pt;margin-top:307.25pt;z-index:-16771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364.3pt;margin-top:307.25pt;z-index:-167713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353.05pt;margin-top:307.25pt;z-index:-16771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283.25pt;margin-top:307.25pt;z-index:-1677129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270.45pt;margin-top:307.25pt;z-index:-1677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200.65pt;margin-top:307.25pt;z-index:-1677128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19.7pt;margin-top:307.25pt;z-index:-1677128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438.6pt;margin-top:307.25pt;z-index:-167712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359.05pt;margin-top:307.25pt;z-index:-167712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278pt;margin-top:307.25pt;z-index:-1677126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195.4pt;margin-top:307.25pt;z-index:-1677126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19.7pt;margin-top:164.65pt;z-index:-1677126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19.7pt;margin-top:176.65pt;z-index:-1677125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13.7pt;margin-top:164.65pt;z-index:-16771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438.6pt;margin-top:176.65pt;z-index:-167712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359.05pt;margin-top:164.65pt;z-index:-167712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359.05pt;margin-top:176.65pt;z-index:-167712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354.55pt;margin-top:164.65pt;z-index:-167712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278pt;margin-top:164.65pt;z-index:-1677123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278pt;margin-top:176.65pt;z-index:-1677122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271.95pt;margin-top:164.65pt;z-index:-16771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195.4pt;margin-top:176.65pt;z-index:-1677122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438.6pt;margin-top:152.65pt;z-index:-16771216;width:160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438.6pt;margin-top:164.65pt;z-index:-16771212;width:160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95.4pt;margin-top:152.65pt;z-index:-16771208;width:2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195.4pt;margin-top:164.65pt;z-index:-16771204;width:2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595.5pt;margin-top:152.65pt;z-index:-16771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24.95pt;margin-top:152.65pt;z-index:-167711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519.7pt;margin-top:152.65pt;z-index:-167711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18.2pt;margin-top:152.65pt;z-index:-16771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15.2pt;margin-top:152.65pt;z-index:-167711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513.7pt;margin-top:152.65pt;z-index:-16771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512.15pt;margin-top:152.65pt;z-index:-16771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443.85pt;margin-top:152.65pt;z-index:-167711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438.6pt;margin-top:152.65pt;z-index:-16771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432.6pt;margin-top:152.65pt;z-index:-16771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364.3pt;margin-top:152.65pt;z-index:-167711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359.05pt;margin-top:152.65pt;z-index:-167711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357.55pt;margin-top:152.65pt;z-index:-16771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356.05pt;margin-top:152.65pt;z-index:-16771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354.55pt;margin-top:152.65pt;z-index:-16771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353.05pt;margin-top:152.65pt;z-index:-16771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283.25pt;margin-top:152.65pt;z-index:-1677113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278pt;margin-top:152.65pt;z-index:-16771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276.5pt;margin-top:152.65pt;z-index:-16771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273.45pt;margin-top:152.65pt;z-index:-167711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271.95pt;margin-top:152.65pt;z-index:-16771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270.45pt;margin-top:152.65pt;z-index:-16771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200.65pt;margin-top:152.65pt;z-index:-1677111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195.4pt;margin-top:152.65pt;z-index:-16771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</w:p>
    <w:p>
      <w:pPr>
        <w:pStyle w:val="Normal"/>
        <w:framePr w:w="1778" w:hAnchor="page" w:vAnchor="page" w:x="5459" w:y="162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2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24</w:t>
      </w:r>
    </w:p>
    <w:p>
      <w:pPr>
        <w:pStyle w:val="Normal"/>
        <w:framePr w:w="4784" w:hAnchor="page" w:vAnchor="page" w:x="300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17.7 %</w:t>
      </w:r>
    </w:p>
    <w:p>
      <w:pPr>
        <w:pStyle w:val="Normal"/>
        <w:framePr w:w="750" w:hAnchor="page" w:vAnchor="page" w:x="7511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14.5 %</w:t>
      </w:r>
    </w:p>
    <w:p>
      <w:pPr>
        <w:pStyle w:val="Normal"/>
        <w:framePr w:w="750" w:hAnchor="page" w:vAnchor="page" w:x="11475" w:y="75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16.3 %</w:t>
      </w:r>
    </w:p>
    <w:p>
      <w:pPr>
        <w:pStyle w:val="Normal"/>
        <w:framePr w:w="2225" w:hAnchor="page" w:vAnchor="page" w:x="300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17.7 %</w:t>
      </w:r>
    </w:p>
    <w:p>
      <w:pPr>
        <w:pStyle w:val="Normal"/>
        <w:framePr w:w="750" w:hAnchor="page" w:vAnchor="page" w:x="7511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14.5 %</w:t>
      </w:r>
    </w:p>
    <w:p>
      <w:pPr>
        <w:pStyle w:val="Normal"/>
        <w:framePr w:w="750" w:hAnchor="page" w:vAnchor="page" w:x="11475" w:y="71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15.5 %</w:t>
      </w:r>
    </w:p>
    <w:p>
      <w:pPr>
        <w:pStyle w:val="Normal"/>
        <w:framePr w:w="2966" w:hAnchor="page" w:vAnchor="page" w:x="300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50" w:hAnchor="page" w:vAnchor="page" w:x="6130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13.8 %</w:t>
      </w:r>
    </w:p>
    <w:p>
      <w:pPr>
        <w:pStyle w:val="Normal"/>
        <w:framePr w:w="654" w:hAnchor="page" w:vAnchor="page" w:x="7591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9.7 %</w:t>
      </w:r>
    </w:p>
    <w:p>
      <w:pPr>
        <w:pStyle w:val="Normal"/>
        <w:framePr w:w="743" w:hAnchor="page" w:vAnchor="page" w:x="11481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11.5 %</w:t>
      </w:r>
    </w:p>
    <w:p>
      <w:pPr>
        <w:pStyle w:val="Normal"/>
        <w:framePr w:w="4196" w:hAnchor="page" w:vAnchor="page" w:x="300" w:y="62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356.5 </w:t>
      </w:r>
    </w:p>
    <w:p>
      <w:pPr>
        <w:pStyle w:val="Normal"/>
        <w:framePr w:w="288" w:hAnchor="page" w:vAnchor="page" w:x="6755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46.0 </w:t>
      </w:r>
    </w:p>
    <w:p>
      <w:pPr>
        <w:pStyle w:val="Normal"/>
        <w:framePr w:w="288" w:hAnchor="page" w:vAnchor="page" w:x="8137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(23.4)   $</w:t>
      </w:r>
    </w:p>
    <w:p>
      <w:pPr>
        <w:pStyle w:val="Normal"/>
        <w:framePr w:w="432" w:hAnchor="page" w:vAnchor="page" w:x="10364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2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379.1 </w:t>
      </w:r>
    </w:p>
    <w:p>
      <w:pPr>
        <w:pStyle w:val="Normal"/>
        <w:framePr w:w="1893" w:hAnchor="page" w:vAnchor="page" w:x="300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17.7 </w:t>
      </w:r>
    </w:p>
    <w:p>
      <w:pPr>
        <w:pStyle w:val="Normal"/>
        <w:framePr w:w="576" w:hAnchor="page" w:vAnchor="page" w:x="11475" w:y="58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17.7 </w:t>
      </w:r>
    </w:p>
    <w:p>
      <w:pPr>
        <w:pStyle w:val="Normal"/>
        <w:framePr w:w="1637" w:hAnchor="page" w:vAnchor="page" w:x="300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356.5 </w:t>
      </w:r>
    </w:p>
    <w:p>
      <w:pPr>
        <w:pStyle w:val="Normal"/>
        <w:framePr w:w="288" w:hAnchor="page" w:vAnchor="page" w:x="6755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46.0 </w:t>
      </w:r>
    </w:p>
    <w:p>
      <w:pPr>
        <w:pStyle w:val="Normal"/>
        <w:framePr w:w="288" w:hAnchor="page" w:vAnchor="page" w:x="8137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(23.4)   $</w:t>
      </w:r>
    </w:p>
    <w:p>
      <w:pPr>
        <w:pStyle w:val="Normal"/>
        <w:framePr w:w="656" w:hAnchor="page" w:vAnchor="page" w:x="10177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(17.7)</w:t>
      </w:r>
    </w:p>
    <w:p>
      <w:pPr>
        <w:pStyle w:val="Normal"/>
        <w:framePr w:w="288" w:hAnchor="page" w:vAnchor="page" w:x="10734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54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361.4 </w:t>
      </w:r>
    </w:p>
    <w:p>
      <w:pPr>
        <w:pStyle w:val="Normal"/>
        <w:framePr w:w="2527" w:hAnchor="page" w:vAnchor="page" w:x="300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79.0 </w:t>
      </w:r>
    </w:p>
    <w:p>
      <w:pPr>
        <w:pStyle w:val="Normal"/>
        <w:framePr w:w="576" w:hAnchor="page" w:vAnchor="page" w:x="7511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12.8 </w:t>
      </w:r>
    </w:p>
    <w:p>
      <w:pPr>
        <w:pStyle w:val="Normal"/>
        <w:framePr w:w="480" w:hAnchor="page" w:vAnchor="page" w:x="8973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2" w:hAnchor="page" w:vAnchor="page" w:x="10364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92.1 </w:t>
      </w:r>
    </w:p>
    <w:p>
      <w:pPr>
        <w:pStyle w:val="Normal"/>
        <w:framePr w:w="832" w:hAnchor="page" w:vAnchor="page" w:x="795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60" w:hAnchor="page" w:vAnchor="page" w:x="6144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80" w:hAnchor="page" w:vAnchor="page" w:x="7591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2" w:hAnchor="page" w:vAnchor="page" w:x="9013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6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3616" w:hAnchor="page" w:vAnchor="page" w:x="52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60" w:hAnchor="page" w:vAnchor="page" w:x="6144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80" w:hAnchor="page" w:vAnchor="page" w:x="7591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2" w:hAnchor="page" w:vAnchor="page" w:x="9013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1884" w:hAnchor="page" w:vAnchor="page" w:x="30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277.7 </w:t>
      </w:r>
    </w:p>
    <w:p>
      <w:pPr>
        <w:pStyle w:val="Normal"/>
        <w:framePr w:w="288" w:hAnchor="page" w:vAnchor="page" w:x="6755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30.6 </w:t>
      </w:r>
    </w:p>
    <w:p>
      <w:pPr>
        <w:pStyle w:val="Normal"/>
        <w:framePr w:w="288" w:hAnchor="page" w:vAnchor="page" w:x="8137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(23.7)   $</w:t>
      </w:r>
    </w:p>
    <w:p>
      <w:pPr>
        <w:pStyle w:val="Normal"/>
        <w:framePr w:w="656" w:hAnchor="page" w:vAnchor="page" w:x="10177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(17.7)</w:t>
      </w:r>
    </w:p>
    <w:p>
      <w:pPr>
        <w:pStyle w:val="Normal"/>
        <w:framePr w:w="288" w:hAnchor="page" w:vAnchor="page" w:x="10734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266.9 </w:t>
      </w:r>
    </w:p>
    <w:p>
      <w:pPr>
        <w:pStyle w:val="Normal"/>
        <w:framePr w:w="864" w:hAnchor="page" w:vAnchor="page" w:x="300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2,009.1 </w:t>
      </w:r>
    </w:p>
    <w:p>
      <w:pPr>
        <w:pStyle w:val="Normal"/>
        <w:framePr w:w="288" w:hAnchor="page" w:vAnchor="page" w:x="6755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316.5 </w:t>
      </w:r>
    </w:p>
    <w:p>
      <w:pPr>
        <w:pStyle w:val="Normal"/>
        <w:framePr w:w="288" w:hAnchor="page" w:vAnchor="page" w:x="8137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2,325.6 </w:t>
      </w:r>
    </w:p>
    <w:p>
      <w:pPr>
        <w:pStyle w:val="Normal"/>
        <w:framePr w:w="768" w:hAnchor="page" w:vAnchor="page" w:x="5752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00" w:y="27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938" w:hAnchor="page" w:vAnchor="page" w:x="7937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9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7pt;margin-top:1pt;z-index:-167711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13pt;margin-top:830.45pt;z-index:-16771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13pt;margin-top:831.2pt;z-index:-167710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596.25pt;margin-top:830.45pt;z-index:-16771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13pt;margin-top:830.45pt;z-index:-167710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210.15pt;margin-top:88.1pt;z-index:-1677108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190.35pt;margin-top:96.35pt;z-index:-1677108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34.7pt;margin-top:323pt;z-index:-167710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534.7pt;margin-top:325.3pt;z-index:-167710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465.65pt;margin-top:323pt;z-index:-167710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465.65pt;margin-top:325.3pt;z-index:-167710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404.85pt;margin-top:323pt;z-index:-167710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404.85pt;margin-top:325.3pt;z-index:-167710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335.8pt;margin-top:323pt;z-index:-167710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335.8pt;margin-top:325.3pt;z-index:-167710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267.45pt;margin-top:323pt;z-index:-167710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267.45pt;margin-top:325.3pt;z-index:-167710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88.75pt;margin-top:311pt;z-index:-167710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88.75pt;margin-top:323pt;z-index:-167710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88.75pt;margin-top:325.3pt;z-index:-167710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39.95pt;margin-top:311pt;z-index:-167710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39.95pt;margin-top:323pt;z-index:-167710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39.95pt;margin-top:325.3pt;z-index:-167710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34.7pt;margin-top:323pt;z-index:-16771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534.7pt;margin-top:325.3pt;z-index:-16771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527.2pt;margin-top:311pt;z-index:-16771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27.2pt;margin-top:323pt;z-index:-16771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527.2pt;margin-top:325.3pt;z-index:-16770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470.9pt;margin-top:311pt;z-index:-167709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70.9pt;margin-top:323pt;z-index:-167709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70.9pt;margin-top:325.3pt;z-index:-167709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465.65pt;margin-top:323pt;z-index:-167709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465.65pt;margin-top:325.3pt;z-index:-16770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459.65pt;margin-top:311pt;z-index:-16770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459.65pt;margin-top:323pt;z-index:-16770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59.65pt;margin-top:325.3pt;z-index:-16770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410.1pt;margin-top:311pt;z-index:-167709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410.1pt;margin-top:323pt;z-index:-167709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410.1pt;margin-top:325.3pt;z-index:-167709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404.85pt;margin-top:323pt;z-index:-16770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404.85pt;margin-top:325.3pt;z-index:-16770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390.55pt;margin-top:311pt;z-index:-167709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390.55pt;margin-top:323pt;z-index:-167709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390.55pt;margin-top:325.3pt;z-index:-167709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341.05pt;margin-top:311pt;z-index:-167709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341.05pt;margin-top:323pt;z-index:-167709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341.05pt;margin-top:325.3pt;z-index:-167709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335.8pt;margin-top:323pt;z-index:-16770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335.8pt;margin-top:325.3pt;z-index:-16770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321.5pt;margin-top:311pt;z-index:-167709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321.5pt;margin-top:323pt;z-index:-167709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321.5pt;margin-top:325.3pt;z-index:-167709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272.7pt;margin-top:311pt;z-index:-167708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272.7pt;margin-top:323pt;z-index:-167708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272.7pt;margin-top:325.3pt;z-index:-167708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267.45pt;margin-top:323pt;z-index:-16770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267.45pt;margin-top:325.3pt;z-index:-16770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34.7pt;margin-top:311pt;z-index:-167708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465.65pt;margin-top:311pt;z-index:-167708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04.85pt;margin-top:311pt;z-index:-16770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335.8pt;margin-top:311pt;z-index:-167708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267.45pt;margin-top:311pt;z-index:-167708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534.7pt;margin-top:281.75pt;z-index:-167708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65.65pt;margin-top:281.75pt;z-index:-167708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404.85pt;margin-top:281.75pt;z-index:-167708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335.8pt;margin-top:281.75pt;z-index:-167708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267.45pt;margin-top:281.75pt;z-index:-167708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588.75pt;margin-top:269.75pt;z-index:-167708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588.75pt;margin-top:281.75pt;z-index:-167708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539.95pt;margin-top:269.75pt;z-index:-167708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539.95pt;margin-top:281.75pt;z-index:-167708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34.7pt;margin-top:281.75pt;z-index:-167708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27.2pt;margin-top:269.75pt;z-index:-16770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27.2pt;margin-top:281.75pt;z-index:-16770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470.9pt;margin-top:269.75pt;z-index:-167708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470.9pt;margin-top:281.75pt;z-index:-167708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465.65pt;margin-top:281.75pt;z-index:-16770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59.65pt;margin-top:269.75pt;z-index:-16770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459.65pt;margin-top:281.75pt;z-index:-16770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410.1pt;margin-top:269.75pt;z-index:-167707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410.1pt;margin-top:281.75pt;z-index:-167707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404.85pt;margin-top:281.75pt;z-index:-16770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390.55pt;margin-top:269.75pt;z-index:-167707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390.55pt;margin-top:281.75pt;z-index:-167707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341.05pt;margin-top:269.75pt;z-index:-167707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341.05pt;margin-top:281.75pt;z-index:-167707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335.8pt;margin-top:281.75pt;z-index:-16770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321.5pt;margin-top:269.75pt;z-index:-167707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321.5pt;margin-top:281.75pt;z-index:-167707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272.7pt;margin-top:269.75pt;z-index:-167707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272.7pt;margin-top:281.75pt;z-index:-167707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267.45pt;margin-top:281.75pt;z-index:-16770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34.7pt;margin-top:269.75pt;z-index:-167707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65.65pt;margin-top:269.75pt;z-index:-167707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04.85pt;margin-top:269.75pt;z-index:-167707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335.8pt;margin-top:269.75pt;z-index:-167707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267.45pt;margin-top:269.75pt;z-index:-167707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88.75pt;margin-top:228.45pt;z-index:-167707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534.7pt;margin-top:228.45pt;z-index:-1677071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27.2pt;margin-top:228.45pt;z-index:-16770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465.65pt;margin-top:228.45pt;z-index:-167707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459.65pt;margin-top:228.45pt;z-index:-16770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404.85pt;margin-top:228.45pt;z-index:-167706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390.55pt;margin-top:228.45pt;z-index:-167706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335.8pt;margin-top:228.45pt;z-index:-167706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21.5pt;margin-top:228.45pt;z-index:-167706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267.45pt;margin-top:228.45pt;z-index:-167706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588.75pt;margin-top:164.65pt;z-index:-167706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539.95pt;margin-top:164.65pt;z-index:-167706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527.2pt;margin-top:164.65pt;z-index:-16770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470.9pt;margin-top:164.65pt;z-index:-167706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59.65pt;margin-top:164.65pt;z-index:-16770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10.1pt;margin-top:164.65pt;z-index:-167706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390.55pt;margin-top:164.65pt;z-index:-167706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341.05pt;margin-top:164.65pt;z-index:-167706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321.5pt;margin-top:164.65pt;z-index:-167706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272.7pt;margin-top:164.65pt;z-index:-167706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534.7pt;margin-top:145.1pt;z-index:-167706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534.7pt;margin-top:164.65pt;z-index:-167706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28.7pt;margin-top:145.1pt;z-index:-16770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465.65pt;margin-top:145.1pt;z-index:-167706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465.65pt;margin-top:164.65pt;z-index:-167706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461.15pt;margin-top:145.1pt;z-index:-167706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404.85pt;margin-top:145.1pt;z-index:-167706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404.85pt;margin-top:164.65pt;z-index:-167706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398.85pt;margin-top:145.1pt;z-index:-16770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335.8pt;margin-top:145.1pt;z-index:-167706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335.8pt;margin-top:164.65pt;z-index:-167705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329.75pt;margin-top:145.1pt;z-index:-16770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267.45pt;margin-top:164.65pt;z-index:-167705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267.45pt;margin-top:145.1pt;z-index:-16770584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267.45pt;margin-top:121.85pt;z-index:-1677058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588.75pt;margin-top:121.85pt;z-index:-167705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539.95pt;margin-top:121.85pt;z-index:-167705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534.7pt;margin-top:121.85pt;z-index:-16770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533.2pt;margin-top:121.85pt;z-index:-16770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30.2pt;margin-top:121.85pt;z-index:-167705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28.7pt;margin-top:121.85pt;z-index:-1677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27.2pt;margin-top:121.85pt;z-index:-16770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70.9pt;margin-top:121.85pt;z-index:-167705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65.65pt;margin-top:121.85pt;z-index:-16770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64.15pt;margin-top:121.85pt;z-index:-16770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462.65pt;margin-top:121.85pt;z-index:-16770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61.15pt;margin-top:121.85pt;z-index:-16770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459.65pt;margin-top:121.85pt;z-index:-16770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410.1pt;margin-top:121.85pt;z-index:-167705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404.85pt;margin-top:121.85pt;z-index:-16770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403.35pt;margin-top:121.85pt;z-index:-16770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400.35pt;margin-top:121.85pt;z-index:-1677051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398.85pt;margin-top:121.85pt;z-index:-16770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390.55pt;margin-top:121.85pt;z-index:-16770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341.05pt;margin-top:121.85pt;z-index:-167705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335.8pt;margin-top:121.85pt;z-index:-16770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334.25pt;margin-top:121.85pt;z-index:-16770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331.25pt;margin-top:121.85pt;z-index:-1677048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329.75pt;margin-top:121.85pt;z-index:-16770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321.5pt;margin-top:121.85pt;z-index:-167704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272.7pt;margin-top:121.85pt;z-index:-167704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267.45pt;margin-top:121.85pt;z-index:-16770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</w:p>
    <w:p>
      <w:pPr>
        <w:pStyle w:val="Normal"/>
        <w:framePr w:w="1778" w:hAnchor="page" w:vAnchor="page" w:x="5459" w:y="161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1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24</w:t>
      </w:r>
    </w:p>
    <w:p>
      <w:pPr>
        <w:pStyle w:val="Normal"/>
        <w:framePr w:w="4784" w:hAnchor="page" w:vAnchor="page" w:x="300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14.0 %</w:t>
      </w:r>
    </w:p>
    <w:p>
      <w:pPr>
        <w:pStyle w:val="Normal"/>
        <w:framePr w:w="750" w:hAnchor="page" w:vAnchor="page" w:x="7511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13.5 %</w:t>
      </w:r>
    </w:p>
    <w:p>
      <w:pPr>
        <w:pStyle w:val="Normal"/>
        <w:framePr w:w="750" w:hAnchor="page" w:vAnchor="page" w:x="11475" w:y="8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12.6 %</w:t>
      </w:r>
    </w:p>
    <w:p>
      <w:pPr>
        <w:pStyle w:val="Normal"/>
        <w:framePr w:w="2225" w:hAnchor="page" w:vAnchor="page" w:x="300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14.0 %</w:t>
      </w:r>
    </w:p>
    <w:p>
      <w:pPr>
        <w:pStyle w:val="Normal"/>
        <w:framePr w:w="750" w:hAnchor="page" w:vAnchor="page" w:x="7511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13.5 %</w:t>
      </w:r>
    </w:p>
    <w:p>
      <w:pPr>
        <w:pStyle w:val="Normal"/>
        <w:framePr w:w="750" w:hAnchor="page" w:vAnchor="page" w:x="11475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12.4 %</w:t>
      </w:r>
    </w:p>
    <w:p>
      <w:pPr>
        <w:pStyle w:val="Normal"/>
        <w:framePr w:w="2966" w:hAnchor="page" w:vAnchor="page" w:x="300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9.0 %</w:t>
      </w:r>
    </w:p>
    <w:p>
      <w:pPr>
        <w:pStyle w:val="Normal"/>
        <w:framePr w:w="750" w:hAnchor="page" w:vAnchor="page" w:x="7511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33.7 %</w:t>
      </w:r>
    </w:p>
    <w:p>
      <w:pPr>
        <w:pStyle w:val="Normal"/>
        <w:framePr w:w="750" w:hAnchor="page" w:vAnchor="page" w:x="11475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10.9 %</w:t>
      </w:r>
    </w:p>
    <w:p>
      <w:pPr>
        <w:pStyle w:val="Normal"/>
        <w:framePr w:w="4196" w:hAnchor="page" w:vAnchor="page" w:x="300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242.4 </w:t>
      </w:r>
    </w:p>
    <w:p>
      <w:pPr>
        <w:pStyle w:val="Normal"/>
        <w:framePr w:w="288" w:hAnchor="page" w:vAnchor="page" w:x="6755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41.4 </w:t>
      </w:r>
    </w:p>
    <w:p>
      <w:pPr>
        <w:pStyle w:val="Normal"/>
        <w:framePr w:w="288" w:hAnchor="page" w:vAnchor="page" w:x="8137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(26.7)   $</w:t>
      </w:r>
    </w:p>
    <w:p>
      <w:pPr>
        <w:pStyle w:val="Normal"/>
        <w:framePr w:w="432" w:hAnchor="page" w:vAnchor="page" w:x="10364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257.1 </w:t>
      </w:r>
    </w:p>
    <w:p>
      <w:pPr>
        <w:pStyle w:val="Normal"/>
        <w:framePr w:w="1893" w:hAnchor="page" w:vAnchor="page" w:x="300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0324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480" w:hAnchor="page" w:vAnchor="page" w:x="11555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1637" w:hAnchor="page" w:vAnchor="page" w:x="300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242.4 </w:t>
      </w:r>
    </w:p>
    <w:p>
      <w:pPr>
        <w:pStyle w:val="Normal"/>
        <w:framePr w:w="288" w:hAnchor="page" w:vAnchor="page" w:x="6755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41.4 </w:t>
      </w:r>
    </w:p>
    <w:p>
      <w:pPr>
        <w:pStyle w:val="Normal"/>
        <w:framePr w:w="288" w:hAnchor="page" w:vAnchor="page" w:x="8137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(26.7)   $</w:t>
      </w:r>
    </w:p>
    <w:p>
      <w:pPr>
        <w:pStyle w:val="Normal"/>
        <w:framePr w:w="560" w:hAnchor="page" w:vAnchor="page" w:x="10257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288" w:hAnchor="page" w:vAnchor="page" w:x="10734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252.6 </w:t>
      </w:r>
    </w:p>
    <w:p>
      <w:pPr>
        <w:pStyle w:val="Normal"/>
        <w:framePr w:w="2527" w:hAnchor="page" w:vAnchor="page" w:x="300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85.8 </w:t>
      </w:r>
    </w:p>
    <w:p>
      <w:pPr>
        <w:pStyle w:val="Normal"/>
        <w:framePr w:w="576" w:hAnchor="page" w:vAnchor="page" w:x="7511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13.4 </w:t>
      </w:r>
    </w:p>
    <w:p>
      <w:pPr>
        <w:pStyle w:val="Normal"/>
        <w:framePr w:w="480" w:hAnchor="page" w:vAnchor="page" w:x="8973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2" w:hAnchor="page" w:vAnchor="page" w:x="10364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99.5 </w:t>
      </w:r>
    </w:p>
    <w:p>
      <w:pPr>
        <w:pStyle w:val="Normal"/>
        <w:framePr w:w="832" w:hAnchor="page" w:vAnchor="page" w:x="79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32" w:hAnchor="page" w:vAnchor="page" w:x="6250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744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(75.4)</w:t>
      </w:r>
    </w:p>
    <w:p>
      <w:pPr>
        <w:pStyle w:val="Normal"/>
        <w:framePr w:w="480" w:hAnchor="page" w:vAnchor="page" w:x="8973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432" w:hAnchor="page" w:vAnchor="page" w:x="10364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408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(70.2)</w:t>
      </w:r>
    </w:p>
    <w:p>
      <w:pPr>
        <w:pStyle w:val="Normal"/>
        <w:framePr w:w="4255" w:hAnchor="page" w:vAnchor="page" w:x="52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2" w:hAnchor="page" w:vAnchor="page" w:x="6250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744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2" w:hAnchor="page" w:vAnchor="page" w:x="9013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408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3616" w:hAnchor="page" w:vAnchor="page" w:x="525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32" w:hAnchor="page" w:vAnchor="page" w:x="6250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0" w:hAnchor="page" w:vAnchor="page" w:x="7525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80" w:hAnchor="page" w:vAnchor="page" w:x="8973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432" w:hAnchor="page" w:vAnchor="page" w:x="10364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1884" w:hAnchor="page" w:vAnchor="page" w:x="300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156.6 </w:t>
      </w:r>
    </w:p>
    <w:p>
      <w:pPr>
        <w:pStyle w:val="Normal"/>
        <w:framePr w:w="288" w:hAnchor="page" w:vAnchor="page" w:x="6755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103.4 </w:t>
      </w:r>
    </w:p>
    <w:p>
      <w:pPr>
        <w:pStyle w:val="Normal"/>
        <w:framePr w:w="288" w:hAnchor="page" w:vAnchor="page" w:x="8137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(32.2)   $</w:t>
      </w:r>
    </w:p>
    <w:p>
      <w:pPr>
        <w:pStyle w:val="Normal"/>
        <w:framePr w:w="560" w:hAnchor="page" w:vAnchor="page" w:x="10257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288" w:hAnchor="page" w:vAnchor="page" w:x="10734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223.3 </w:t>
      </w:r>
    </w:p>
    <w:p>
      <w:pPr>
        <w:pStyle w:val="Normal"/>
        <w:framePr w:w="864" w:hAnchor="page" w:vAnchor="page" w:x="30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1,734.8 </w:t>
      </w:r>
    </w:p>
    <w:p>
      <w:pPr>
        <w:pStyle w:val="Normal"/>
        <w:framePr w:w="288" w:hAnchor="page" w:vAnchor="page" w:x="675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307.2 </w:t>
      </w:r>
    </w:p>
    <w:p>
      <w:pPr>
        <w:pStyle w:val="Normal"/>
        <w:framePr w:w="288" w:hAnchor="page" w:vAnchor="page" w:x="8137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2,042.0 </w:t>
      </w:r>
    </w:p>
    <w:p>
      <w:pPr>
        <w:pStyle w:val="Normal"/>
        <w:framePr w:w="768" w:hAnchor="page" w:vAnchor="page" w:x="5752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9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463" w:hAnchor="page" w:vAnchor="page" w:x="8135" w:y="35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1938" w:hAnchor="page" w:vAnchor="page" w:x="7937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9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7pt;margin-top:1pt;z-index:-167704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13pt;margin-top:828.2pt;z-index:-16770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13pt;margin-top:828.95pt;z-index:-167704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596.25pt;margin-top:828.2pt;z-index:-16770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13pt;margin-top:828.2pt;z-index:-16770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210.15pt;margin-top:88.05pt;z-index:-16770448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190.35pt;margin-top:96.35pt;z-index:-16770444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534.7pt;margin-top:374.8pt;z-index:-167704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534.7pt;margin-top:377.05pt;z-index:-167704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465.65pt;margin-top:374.8pt;z-index:-167704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465.65pt;margin-top:377.05pt;z-index:-167704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404.85pt;margin-top:374.8pt;z-index:-167704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404.85pt;margin-top:377.05pt;z-index:-167704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335.8pt;margin-top:374.8pt;z-index:-167704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335.8pt;margin-top:377.05pt;z-index:-167704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267.45pt;margin-top:374.8pt;z-index:-167704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267.45pt;margin-top:377.05pt;z-index:-167704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88.75pt;margin-top:362.8pt;z-index:-167704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588.75pt;margin-top:374.8pt;z-index:-167703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588.75pt;margin-top:377.05pt;z-index:-167703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539.95pt;margin-top:362.8pt;z-index:-167703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539.95pt;margin-top:374.8pt;z-index:-167703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539.95pt;margin-top:377.05pt;z-index:-167703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534.7pt;margin-top:374.8pt;z-index:-16770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534.7pt;margin-top:377.05pt;z-index:-167703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527.2pt;margin-top:362.8pt;z-index:-16770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527.2pt;margin-top:374.8pt;z-index:-1677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27.2pt;margin-top:377.05pt;z-index:-16770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470.9pt;margin-top:362.8pt;z-index:-167703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470.9pt;margin-top:374.8pt;z-index:-167703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470.9pt;margin-top:377.05pt;z-index:-167703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465.65pt;margin-top:374.8pt;z-index:-167703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465.65pt;margin-top:377.05pt;z-index:-167703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459.65pt;margin-top:362.8pt;z-index:-16770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459.65pt;margin-top:374.8pt;z-index:-16770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459.65pt;margin-top:377.05pt;z-index:-16770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410.1pt;margin-top:362.8pt;z-index:-167703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410.1pt;margin-top:374.8pt;z-index:-167703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410.1pt;margin-top:377.05pt;z-index:-167703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404.85pt;margin-top:374.8pt;z-index:-167703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404.85pt;margin-top:377.05pt;z-index:-16770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390.55pt;margin-top:362.8pt;z-index:-167703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390.55pt;margin-top:374.8pt;z-index:-167703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390.55pt;margin-top:377.05pt;z-index:-167702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341.05pt;margin-top:362.8pt;z-index:-167702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341.05pt;margin-top:374.8pt;z-index:-167702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341.05pt;margin-top:377.05pt;z-index:-167702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335.8pt;margin-top:374.8pt;z-index:-167702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335.8pt;margin-top:377.05pt;z-index:-167702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321.5pt;margin-top:362.8pt;z-index:-167702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321.5pt;margin-top:374.8pt;z-index:-167702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321.5pt;margin-top:377.05pt;z-index:-167702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272.7pt;margin-top:362.8pt;z-index:-167702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272.7pt;margin-top:374.8pt;z-index:-167702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272.7pt;margin-top:377.05pt;z-index:-167702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267.45pt;margin-top:374.8pt;z-index:-16770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267.45pt;margin-top:377.05pt;z-index:-167702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534.7pt;margin-top:362.8pt;z-index:-167702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465.65pt;margin-top:362.8pt;z-index:-167702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404.85pt;margin-top:362.8pt;z-index:-167702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335.8pt;margin-top:362.8pt;z-index:-167702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267.45pt;margin-top:362.8pt;z-index:-167702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534.7pt;margin-top:333.55pt;z-index:-167702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465.65pt;margin-top:333.55pt;z-index:-167702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04.85pt;margin-top:333.55pt;z-index:-167702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335.8pt;margin-top:333.55pt;z-index:-167702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267.45pt;margin-top:333.55pt;z-index:-167702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588.75pt;margin-top:321.5pt;z-index:-167702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588.75pt;margin-top:333.55pt;z-index:-167701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539.95pt;margin-top:321.5pt;z-index:-167701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539.95pt;margin-top:333.55pt;z-index:-167701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534.7pt;margin-top:333.55pt;z-index:-167701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527.2pt;margin-top:321.5pt;z-index:-16770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527.2pt;margin-top:333.55pt;z-index:-16770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470.9pt;margin-top:321.5pt;z-index:-167701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470.9pt;margin-top:333.55pt;z-index:-167701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465.65pt;margin-top:333.55pt;z-index:-167701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459.65pt;margin-top:321.5pt;z-index:-16770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459.65pt;margin-top:333.55pt;z-index:-16770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410.1pt;margin-top:321.5pt;z-index:-167701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410.1pt;margin-top:333.55pt;z-index:-167701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404.85pt;margin-top:333.55pt;z-index:-16770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390.55pt;margin-top:321.5pt;z-index:-167701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390.55pt;margin-top:333.55pt;z-index:-167701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341.05pt;margin-top:321.5pt;z-index:-167701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341.05pt;margin-top:333.55pt;z-index:-167701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335.8pt;margin-top:333.55pt;z-index:-167701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321.5pt;margin-top:321.5pt;z-index:-167701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321.5pt;margin-top:333.55pt;z-index:-167701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272.7pt;margin-top:321.5pt;z-index:-167701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272.7pt;margin-top:333.55pt;z-index:-167701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267.45pt;margin-top:333.55pt;z-index:-16770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34.7pt;margin-top:321.5pt;z-index:-167701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465.65pt;margin-top:321.5pt;z-index:-167700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04.85pt;margin-top:321.5pt;z-index:-167700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335.8pt;margin-top:321.5pt;z-index:-167700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267.45pt;margin-top:321.5pt;z-index:-167700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588.75pt;margin-top:280.25pt;z-index:-167700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534.7pt;margin-top:280.25pt;z-index:-167700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527.2pt;margin-top:280.25pt;z-index:-16770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465.65pt;margin-top:280.25pt;z-index:-167700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459.65pt;margin-top:280.25pt;z-index:-16770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404.85pt;margin-top:280.25pt;z-index:-167700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390.55pt;margin-top:280.25pt;z-index:-167700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335.8pt;margin-top:280.25pt;z-index:-167700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321.5pt;margin-top:280.25pt;z-index:-167700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267.45pt;margin-top:280.25pt;z-index:-167700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588.75pt;margin-top:205.15pt;z-index:-167700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39.95pt;margin-top:205.15pt;z-index:-167700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527.2pt;margin-top:205.15pt;z-index:-16770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470.9pt;margin-top:205.15pt;z-index:-167700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459.65pt;margin-top:205.15pt;z-index:-16770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410.1pt;margin-top:205.15pt;z-index:-167700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390.55pt;margin-top:205.15pt;z-index:-167700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341.05pt;margin-top:205.15pt;z-index:-16770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321.5pt;margin-top:205.15pt;z-index:-167700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272.7pt;margin-top:205.15pt;z-index:-167700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534.7pt;margin-top:185.65pt;z-index:-167700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534.7pt;margin-top:205.15pt;z-index:-167699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528.7pt;margin-top:185.65pt;z-index:-16769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65.65pt;margin-top:185.65pt;z-index:-167699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65.65pt;margin-top:205.15pt;z-index:-167699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61.15pt;margin-top:185.65pt;z-index:-167699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04.85pt;margin-top:185.65pt;z-index:-167699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04.85pt;margin-top:205.15pt;z-index:-16769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398.85pt;margin-top:185.65pt;z-index:-16769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335.8pt;margin-top:185.65pt;z-index:-16769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335.8pt;margin-top:205.15pt;z-index:-167699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329.75pt;margin-top:185.65pt;z-index:-16769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267.45pt;margin-top:205.15pt;z-index:-167699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267.45pt;margin-top:185.65pt;z-index:-1676994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267.45pt;margin-top:162.4pt;z-index:-16769944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588.75pt;margin-top:162.4pt;z-index:-167699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539.95pt;margin-top:162.4pt;z-index:-167699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534.7pt;margin-top:162.4pt;z-index:-16769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533.2pt;margin-top:162.4pt;z-index:-16769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530.2pt;margin-top:162.4pt;z-index:-167699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528.7pt;margin-top:162.4pt;z-index:-16769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527.2pt;margin-top:162.4pt;z-index:-16769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470.9pt;margin-top:162.4pt;z-index:-167699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465.65pt;margin-top:162.4pt;z-index:-16769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464.15pt;margin-top:162.4pt;z-index:-16769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62.65pt;margin-top:162.4pt;z-index:-16769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461.15pt;margin-top:162.4pt;z-index:-16769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459.65pt;margin-top:162.4pt;z-index:-16769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410.1pt;margin-top:162.4pt;z-index:-167698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404.85pt;margin-top:162.4pt;z-index:-16769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403.35pt;margin-top:162.4pt;z-index:-16769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400.35pt;margin-top:162.4pt;z-index:-167698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398.85pt;margin-top:162.4pt;z-index:-16769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390.55pt;margin-top:162.4pt;z-index:-167698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341.05pt;margin-top:162.4pt;z-index:-167698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335.8pt;margin-top:162.4pt;z-index:-16769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334.25pt;margin-top:162.4pt;z-index:-16769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331.25pt;margin-top:162.4pt;z-index:-167698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329.75pt;margin-top:162.4pt;z-index:-16769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321.5pt;margin-top:162.4pt;z-index:-167698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272.7pt;margin-top:162.4pt;z-index:-167698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267.45pt;margin-top:162.4pt;z-index:-16769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</w:p>
    <w:p>
      <w:pPr>
        <w:pStyle w:val="Normal"/>
        <w:framePr w:w="1778" w:hAnchor="page" w:vAnchor="page" w:x="5459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24</w:t>
      </w:r>
    </w:p>
    <w:p>
      <w:pPr>
        <w:pStyle w:val="Normal"/>
        <w:framePr w:w="6480" w:hAnchor="page" w:vAnchor="page" w:x="280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are treated as a penalty and as such, do not trigger tax charges or benefits.</w:t>
      </w:r>
    </w:p>
    <w:p>
      <w:pPr>
        <w:pStyle w:val="Normal"/>
        <w:framePr w:w="14202" w:hAnchor="page" w:vAnchor="page" w:x="280" w:y="83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*The non-recurring legal settlement charges reflect the impact of the resolution of all outstanding matters with the PNF (reference to Note 15 of the 10-Q). For taxation purposes the</w:t>
      </w:r>
    </w:p>
    <w:p>
      <w:pPr>
        <w:pStyle w:val="Normal"/>
        <w:framePr w:w="4784" w:hAnchor="page" w:vAnchor="page" w:x="300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14.4 %</w:t>
      </w:r>
    </w:p>
    <w:p>
      <w:pPr>
        <w:pStyle w:val="Normal"/>
        <w:framePr w:w="750" w:hAnchor="page" w:vAnchor="page" w:x="7511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11475" w:y="77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12.9 %</w:t>
      </w:r>
    </w:p>
    <w:p>
      <w:pPr>
        <w:pStyle w:val="Normal"/>
        <w:framePr w:w="2225" w:hAnchor="page" w:vAnchor="page" w:x="300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14.4 %</w:t>
      </w:r>
    </w:p>
    <w:p>
      <w:pPr>
        <w:pStyle w:val="Normal"/>
        <w:framePr w:w="750" w:hAnchor="page" w:vAnchor="page" w:x="7511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11475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2966" w:hAnchor="page" w:vAnchor="page" w:x="30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21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9.5 %</w:t>
      </w:r>
    </w:p>
    <w:p>
      <w:pPr>
        <w:pStyle w:val="Normal"/>
        <w:framePr w:w="654" w:hAnchor="page" w:vAnchor="page" w:x="759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718" w:hAnchor="page" w:vAnchor="page" w:x="11502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-1.2 %</w:t>
      </w:r>
    </w:p>
    <w:p>
      <w:pPr>
        <w:pStyle w:val="Normal"/>
        <w:framePr w:w="4196" w:hAnchor="page" w:vAnchor="page" w:x="300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233.8 </w:t>
      </w:r>
    </w:p>
    <w:p>
      <w:pPr>
        <w:pStyle w:val="Normal"/>
        <w:framePr w:w="288" w:hAnchor="page" w:vAnchor="page" w:x="6755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288" w:hAnchor="page" w:vAnchor="page" w:x="8137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(26.5)   $</w:t>
      </w:r>
    </w:p>
    <w:p>
      <w:pPr>
        <w:pStyle w:val="Normal"/>
        <w:framePr w:w="432" w:hAnchor="page" w:vAnchor="page" w:x="10364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254.2 </w:t>
      </w:r>
    </w:p>
    <w:p>
      <w:pPr>
        <w:pStyle w:val="Normal"/>
        <w:framePr w:w="1893" w:hAnchor="page" w:vAnchor="page" w:x="300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576" w:hAnchor="page" w:vAnchor="page" w:x="11475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1637" w:hAnchor="page" w:vAnchor="page" w:x="30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233.8 </w:t>
      </w:r>
    </w:p>
    <w:p>
      <w:pPr>
        <w:pStyle w:val="Normal"/>
        <w:framePr w:w="288" w:hAnchor="page" w:vAnchor="page" w:x="675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46.9 </w:t>
      </w:r>
    </w:p>
    <w:p>
      <w:pPr>
        <w:pStyle w:val="Normal"/>
        <w:framePr w:w="288" w:hAnchor="page" w:vAnchor="page" w:x="8137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(26.5)   $</w:t>
      </w:r>
    </w:p>
    <w:p>
      <w:pPr>
        <w:pStyle w:val="Normal"/>
        <w:framePr w:w="656" w:hAnchor="page" w:vAnchor="page" w:x="10177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(48.3)</w:t>
      </w:r>
    </w:p>
    <w:p>
      <w:pPr>
        <w:pStyle w:val="Normal"/>
        <w:framePr w:w="288" w:hAnchor="page" w:vAnchor="page" w:x="10734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205.9 </w:t>
      </w:r>
    </w:p>
    <w:p>
      <w:pPr>
        <w:pStyle w:val="Normal"/>
        <w:framePr w:w="2527" w:hAnchor="page" w:vAnchor="page" w:x="300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79.9 </w:t>
      </w:r>
    </w:p>
    <w:p>
      <w:pPr>
        <w:pStyle w:val="Normal"/>
        <w:framePr w:w="576" w:hAnchor="page" w:vAnchor="page" w:x="7511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16.6 </w:t>
      </w:r>
    </w:p>
    <w:p>
      <w:pPr>
        <w:pStyle w:val="Normal"/>
        <w:framePr w:w="480" w:hAnchor="page" w:vAnchor="page" w:x="8973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2" w:hAnchor="page" w:vAnchor="page" w:x="10364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97.0 </w:t>
      </w:r>
    </w:p>
    <w:p>
      <w:pPr>
        <w:pStyle w:val="Normal"/>
        <w:framePr w:w="832" w:hAnchor="page" w:vAnchor="page" w:x="795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80" w:hAnchor="page" w:vAnchor="page" w:x="7591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672" w:hAnchor="page" w:vAnchor="page" w:x="8813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131.6 </w:t>
      </w:r>
    </w:p>
    <w:p>
      <w:pPr>
        <w:pStyle w:val="Normal"/>
        <w:framePr w:w="3275" w:hAnchor="page" w:vAnchor="page" w:x="52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6250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813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2635" w:hAnchor="page" w:vAnchor="page" w:x="52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21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80" w:hAnchor="page" w:vAnchor="page" w:x="7591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432" w:hAnchor="page" w:vAnchor="page" w:x="9013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1884" w:hAnchor="page" w:vAnchor="page" w:x="30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153.4 </w:t>
      </w:r>
    </w:p>
    <w:p>
      <w:pPr>
        <w:pStyle w:val="Normal"/>
        <w:framePr w:w="288" w:hAnchor="page" w:vAnchor="page" w:x="6755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288" w:hAnchor="page" w:vAnchor="page" w:x="8137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746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(153.5)   $</w:t>
      </w:r>
    </w:p>
    <w:p>
      <w:pPr>
        <w:pStyle w:val="Normal"/>
        <w:framePr w:w="656" w:hAnchor="page" w:vAnchor="page" w:x="10177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(48.3)</w:t>
      </w:r>
    </w:p>
    <w:p>
      <w:pPr>
        <w:pStyle w:val="Normal"/>
        <w:framePr w:w="288" w:hAnchor="page" w:vAnchor="page" w:x="10734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56" w:hAnchor="page" w:vAnchor="page" w:x="11408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(22.7)</w:t>
      </w:r>
    </w:p>
    <w:p>
      <w:pPr>
        <w:pStyle w:val="Normal"/>
        <w:framePr w:w="864" w:hAnchor="page" w:vAnchor="page" w:x="300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288" w:hAnchor="page" w:vAnchor="page" w:x="6755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288" w:hAnchor="page" w:vAnchor="page" w:x="8137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768" w:hAnchor="page" w:vAnchor="page" w:x="5752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00" w:y="27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938" w:hAnchor="page" w:vAnchor="page" w:x="7937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63" w:hAnchor="page" w:vAnchor="page" w:x="5414" w:y="19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7pt;margin-top:1pt;z-index:-167698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13pt;margin-top:482.9pt;z-index:-167698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13pt;margin-top:483.65pt;z-index:-167698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96.25pt;margin-top:482.9pt;z-index:-167698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13pt;margin-top:482.9pt;z-index:-167698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210.15pt;margin-top:88.05pt;z-index:-16769812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190.35pt;margin-top:96.35pt;z-index:-16769808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267.45pt;margin-top:121.85pt;z-index:-16769804;width:33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267.45pt;margin-top:133.85pt;z-index:-16769800;width:33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267.45pt;margin-top:164.65pt;z-index:-167697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272.7pt;margin-top:164.65pt;z-index:-1676979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321.5pt;margin-top:164.65pt;z-index:-1676978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329.75pt;margin-top:164.65pt;z-index:-16769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335.8pt;margin-top:164.65pt;z-index:-167697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341.05pt;margin-top:164.65pt;z-index:-16769776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390.55pt;margin-top:164.65pt;z-index:-1676977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398.85pt;margin-top:164.65pt;z-index:-16769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404.85pt;margin-top:164.65pt;z-index:-167697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410.1pt;margin-top:164.65pt;z-index:-1676976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59.65pt;margin-top:164.65pt;z-index:-167697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61.15pt;margin-top:164.65pt;z-index:-167697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65.65pt;margin-top:164.65pt;z-index:-167697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70.9pt;margin-top:164.65pt;z-index:-1676974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527.2pt;margin-top:164.65pt;z-index:-167697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267.45pt;margin-top:176.65pt;z-index:-16769736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329.75pt;margin-top:176.65pt;z-index:-167697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35.8pt;margin-top:176.65pt;z-index:-16769728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98.85pt;margin-top:176.65pt;z-index:-167697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404.85pt;margin-top:176.65pt;z-index:-16769720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61.15pt;margin-top:176.65pt;z-index:-1676971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65.65pt;margin-top:176.65pt;z-index:-16769712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267.45pt;margin-top:185.65pt;z-index:-167697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272.7pt;margin-top:185.65pt;z-index:-167697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21.5pt;margin-top:185.65pt;z-index:-167697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29.75pt;margin-top:185.65pt;z-index:-16769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35.8pt;margin-top:185.65pt;z-index:-167696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341.05pt;margin-top:185.65pt;z-index:-16769688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390.55pt;margin-top:185.65pt;z-index:-167696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398.85pt;margin-top:185.65pt;z-index:-16769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404.85pt;margin-top:185.65pt;z-index:-167696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410.1pt;margin-top:185.65pt;z-index:-1676967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459.65pt;margin-top:185.65pt;z-index:-16769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461.15pt;margin-top:185.65pt;z-index:-16769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465.65pt;margin-top:185.65pt;z-index:-167696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470.9pt;margin-top:185.65pt;z-index:-1676965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27.2pt;margin-top:185.65pt;z-index:-16769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534.7pt;margin-top:334.3pt;z-index:-167696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534.7pt;margin-top:336.55pt;z-index:-167696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465.65pt;margin-top:334.3pt;z-index:-167696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465.65pt;margin-top:336.55pt;z-index:-167696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404.85pt;margin-top:334.3pt;z-index:-167696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404.85pt;margin-top:336.55pt;z-index:-167696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335.8pt;margin-top:334.3pt;z-index:-167696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335.8pt;margin-top:336.55pt;z-index:-167696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267.45pt;margin-top:334.3pt;z-index:-167696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267.45pt;margin-top:336.55pt;z-index:-167696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588.75pt;margin-top:322.25pt;z-index:-167696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588.75pt;margin-top:334.3pt;z-index:-167696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588.75pt;margin-top:336.55pt;z-index:-167696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539.95pt;margin-top:322.25pt;z-index:-167695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539.95pt;margin-top:334.3pt;z-index:-167695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539.95pt;margin-top:336.55pt;z-index:-167695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534.7pt;margin-top:334.3pt;z-index:-167695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534.7pt;margin-top:336.55pt;z-index:-16769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527.2pt;margin-top:322.25pt;z-index:-16769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527.2pt;margin-top:334.3pt;z-index:-16769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527.2pt;margin-top:336.55pt;z-index:-16769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470.9pt;margin-top:322.25pt;z-index:-167695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470.9pt;margin-top:334.3pt;z-index:-167695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470.9pt;margin-top:336.55pt;z-index:-167695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465.65pt;margin-top:334.3pt;z-index:-16769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465.65pt;margin-top:336.55pt;z-index:-16769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459.65pt;margin-top:322.25pt;z-index:-16769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459.65pt;margin-top:334.3pt;z-index:-16769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59.65pt;margin-top:336.55pt;z-index:-1676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10.1pt;margin-top:322.25pt;z-index:-167695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410.1pt;margin-top:334.3pt;z-index:-167695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410.1pt;margin-top:336.55pt;z-index:-167695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404.85pt;margin-top:334.3pt;z-index:-16769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404.85pt;margin-top:336.55pt;z-index:-167695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390.55pt;margin-top:322.25pt;z-index:-167695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390.55pt;margin-top:334.3pt;z-index:-16769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390.55pt;margin-top:336.55pt;z-index:-16769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341.05pt;margin-top:322.25pt;z-index:-167695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341.05pt;margin-top:334.3pt;z-index:-167694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341.05pt;margin-top:336.55pt;z-index:-167694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335.8pt;margin-top:334.3pt;z-index:-16769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335.8pt;margin-top:336.55pt;z-index:-16769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321.5pt;margin-top:322.25pt;z-index:-167694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321.5pt;margin-top:334.3pt;z-index:-167694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321.5pt;margin-top:336.55pt;z-index:-167694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272.7pt;margin-top:322.25pt;z-index:-167694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272.7pt;margin-top:334.3pt;z-index:-167694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272.7pt;margin-top:336.55pt;z-index:-167694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267.45pt;margin-top:334.3pt;z-index:-167694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267.45pt;margin-top:336.55pt;z-index:-16769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534.7pt;margin-top:322.25pt;z-index:-167694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465.65pt;margin-top:322.25pt;z-index:-167694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404.85pt;margin-top:322.25pt;z-index:-167694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35.8pt;margin-top:322.25pt;z-index:-167694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267.45pt;margin-top:322.25pt;z-index:-167694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534.7pt;margin-top:293pt;z-index:-167694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465.65pt;margin-top:293pt;z-index:-167694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04.85pt;margin-top:293pt;z-index:-167694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335.8pt;margin-top:293pt;z-index:-167694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267.45pt;margin-top:293pt;z-index:-167694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88.75pt;margin-top:281pt;z-index:-167694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588.75pt;margin-top:293pt;z-index:-167694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539.95pt;margin-top:281pt;z-index:-167694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539.95pt;margin-top:293pt;z-index:-167693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534.7pt;margin-top:293pt;z-index:-167693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527.2pt;margin-top:281pt;z-index:-16769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527.2pt;margin-top:293pt;z-index:-16769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470.9pt;margin-top:281pt;z-index:-167693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470.9pt;margin-top:293pt;z-index:-167693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465.65pt;margin-top:293pt;z-index:-167693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459.65pt;margin-top:281pt;z-index:-16769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459.65pt;margin-top:293pt;z-index:-16769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410.1pt;margin-top:281pt;z-index:-167693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410.1pt;margin-top:293pt;z-index:-167693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404.85pt;margin-top:293pt;z-index:-16769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390.55pt;margin-top:281pt;z-index:-167693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390.55pt;margin-top:293pt;z-index:-167693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341.05pt;margin-top:281pt;z-index:-167693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341.05pt;margin-top:293pt;z-index:-167693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335.8pt;margin-top:293pt;z-index:-16769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321.5pt;margin-top:281pt;z-index:-167693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321.5pt;margin-top:293pt;z-index:-167693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272.7pt;margin-top:281pt;z-index:-167693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272.7pt;margin-top:293pt;z-index:-167693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267.45pt;margin-top:293pt;z-index:-167693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534.7pt;margin-top:281pt;z-index:-167693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465.65pt;margin-top:281pt;z-index:-167693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404.85pt;margin-top:281pt;z-index:-167693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35.8pt;margin-top:281pt;z-index:-167692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267.45pt;margin-top:281pt;z-index:-167692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588.75pt;margin-top:239.7pt;z-index:-167692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534.7pt;margin-top:239.7pt;z-index:-167692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527.2pt;margin-top:239.7pt;z-index:-16769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65.65pt;margin-top:239.7pt;z-index:-167692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59.65pt;margin-top:239.7pt;z-index:-16769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404.85pt;margin-top:239.7pt;z-index:-167692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390.55pt;margin-top:239.7pt;z-index:-167692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335.8pt;margin-top:239.7pt;z-index:-167692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321.5pt;margin-top:239.7pt;z-index:-167692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267.45pt;margin-top:239.7pt;z-index:-167692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588.75pt;margin-top:164.65pt;z-index:-167692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539.95pt;margin-top:164.65pt;z-index:-167692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527.2pt;margin-top:164.65pt;z-index:-16769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70.9pt;margin-top:164.65pt;z-index:-167692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459.65pt;margin-top:164.65pt;z-index:-16769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410.1pt;margin-top:164.65pt;z-index:-167692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390.55pt;margin-top:164.65pt;z-index:-167692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341.05pt;margin-top:164.65pt;z-index:-167692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321.5pt;margin-top:164.65pt;z-index:-167692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272.7pt;margin-top:164.65pt;z-index:-167692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534.7pt;margin-top:145.1pt;z-index:-167692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534.7pt;margin-top:164.65pt;z-index:-167692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528.7pt;margin-top:145.1pt;z-index:-16769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465.65pt;margin-top:145.1pt;z-index:-167691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465.65pt;margin-top:164.65pt;z-index:-167691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461.15pt;margin-top:145.1pt;z-index:-167691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404.85pt;margin-top:145.1pt;z-index:-167691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404.85pt;margin-top:164.65pt;z-index:-167691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98.85pt;margin-top:145.1pt;z-index:-16769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335.8pt;margin-top:145.1pt;z-index:-167691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335.8pt;margin-top:164.65pt;z-index:-167691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329.75pt;margin-top:145.1pt;z-index:-16769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267.45pt;margin-top:164.65pt;z-index:-167691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267.45pt;margin-top:145.1pt;z-index:-1676915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267.45pt;margin-top:121.85pt;z-index:-16769152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588.75pt;margin-top:121.85pt;z-index:-167691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539.95pt;margin-top:121.85pt;z-index:-167691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534.7pt;margin-top:121.85pt;z-index:-16769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533.2pt;margin-top:121.85pt;z-index:-16769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530.2pt;margin-top:121.85pt;z-index:-1676913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528.7pt;margin-top:121.85pt;z-index:-16769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527.2pt;margin-top:121.85pt;z-index:-16769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70.9pt;margin-top:121.85pt;z-index:-167691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65.65pt;margin-top:121.85pt;z-index:-16769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64.15pt;margin-top:121.85pt;z-index:-16769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462.65pt;margin-top:121.85pt;z-index:-16769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461.15pt;margin-top:121.85pt;z-index:-16769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459.65pt;margin-top:121.85pt;z-index:-16769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410.1pt;margin-top:121.85pt;z-index:-167690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04.85pt;margin-top:121.85pt;z-index:-16769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03.35pt;margin-top:121.85pt;z-index:-16769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00.35pt;margin-top:121.85pt;z-index:-167690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98.85pt;margin-top:121.85pt;z-index:-16769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90.55pt;margin-top:121.85pt;z-index:-167690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341.05pt;margin-top:121.85pt;z-index:-167690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335.8pt;margin-top:121.85pt;z-index:-16769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334.25pt;margin-top:121.85pt;z-index:-16769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331.25pt;margin-top:121.85pt;z-index:-167690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29.75pt;margin-top:121.85pt;z-index:-16769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21.5pt;margin-top:121.85pt;z-index:-167690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272.7pt;margin-top:121.85pt;z-index:-167690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267.45pt;margin-top:121.85pt;z-index:-16769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</w:p>
    <w:p>
      <w:pPr>
        <w:pStyle w:val="Normal"/>
        <w:framePr w:w="1778" w:hAnchor="page" w:vAnchor="page" w:x="5459" w:y="164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4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24</w:t>
      </w:r>
    </w:p>
    <w:p>
      <w:pPr>
        <w:pStyle w:val="Normal"/>
        <w:framePr w:w="4784" w:hAnchor="page" w:vAnchor="page" w:x="353" w:y="7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078" w:y="7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16.0 %</w:t>
      </w:r>
    </w:p>
    <w:p>
      <w:pPr>
        <w:pStyle w:val="Normal"/>
        <w:framePr w:w="750" w:hAnchor="page" w:vAnchor="page" w:x="7459" w:y="7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14.0 %</w:t>
      </w:r>
    </w:p>
    <w:p>
      <w:pPr>
        <w:pStyle w:val="Normal"/>
        <w:framePr w:w="750" w:hAnchor="page" w:vAnchor="page" w:x="11422" w:y="77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14.6 %</w:t>
      </w:r>
    </w:p>
    <w:p>
      <w:pPr>
        <w:pStyle w:val="Normal"/>
        <w:framePr w:w="2225" w:hAnchor="page" w:vAnchor="page" w:x="353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078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16.0 %</w:t>
      </w:r>
    </w:p>
    <w:p>
      <w:pPr>
        <w:pStyle w:val="Normal"/>
        <w:framePr w:w="750" w:hAnchor="page" w:vAnchor="page" w:x="7459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14.0 %</w:t>
      </w:r>
    </w:p>
    <w:p>
      <w:pPr>
        <w:pStyle w:val="Normal"/>
        <w:framePr w:w="750" w:hAnchor="page" w:vAnchor="page" w:x="11422" w:y="73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14.1 %</w:t>
      </w:r>
    </w:p>
    <w:p>
      <w:pPr>
        <w:pStyle w:val="Normal"/>
        <w:framePr w:w="2966" w:hAnchor="page" w:vAnchor="page" w:x="353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43" w:hAnchor="page" w:vAnchor="page" w:x="608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11.6 %</w:t>
      </w:r>
    </w:p>
    <w:p>
      <w:pPr>
        <w:pStyle w:val="Normal"/>
        <w:framePr w:w="750" w:hAnchor="page" w:vAnchor="page" w:x="7459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21.5 %</w:t>
      </w:r>
    </w:p>
    <w:p>
      <w:pPr>
        <w:pStyle w:val="Normal"/>
        <w:framePr w:w="743" w:hAnchor="page" w:vAnchor="page" w:x="11428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11.2 %</w:t>
      </w:r>
    </w:p>
    <w:p>
      <w:pPr>
        <w:pStyle w:val="Normal"/>
        <w:framePr w:w="4196" w:hAnchor="page" w:vAnchor="page" w:x="353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37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998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598.9 </w:t>
      </w:r>
    </w:p>
    <w:p>
      <w:pPr>
        <w:pStyle w:val="Normal"/>
        <w:framePr w:w="288" w:hAnchor="page" w:vAnchor="page" w:x="6703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459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87.4 </w:t>
      </w:r>
    </w:p>
    <w:p>
      <w:pPr>
        <w:pStyle w:val="Normal"/>
        <w:framePr w:w="288" w:hAnchor="page" w:vAnchor="page" w:x="8084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774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(50.1)   $</w:t>
      </w:r>
    </w:p>
    <w:p>
      <w:pPr>
        <w:pStyle w:val="Normal"/>
        <w:framePr w:w="432" w:hAnchor="page" w:vAnchor="page" w:x="10311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681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42" w:y="64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636.2 </w:t>
      </w:r>
    </w:p>
    <w:p>
      <w:pPr>
        <w:pStyle w:val="Normal"/>
        <w:framePr w:w="1893" w:hAnchor="page" w:vAnchor="page" w:x="353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198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579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960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191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22.2 </w:t>
      </w:r>
    </w:p>
    <w:p>
      <w:pPr>
        <w:pStyle w:val="Normal"/>
        <w:framePr w:w="576" w:hAnchor="page" w:vAnchor="page" w:x="11422" w:y="60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22.2 </w:t>
      </w:r>
    </w:p>
    <w:p>
      <w:pPr>
        <w:pStyle w:val="Normal"/>
        <w:framePr w:w="1637" w:hAnchor="page" w:vAnchor="page" w:x="353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37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998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598.9 </w:t>
      </w:r>
    </w:p>
    <w:p>
      <w:pPr>
        <w:pStyle w:val="Normal"/>
        <w:framePr w:w="288" w:hAnchor="page" w:vAnchor="page" w:x="6703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459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87.4 </w:t>
      </w:r>
    </w:p>
    <w:p>
      <w:pPr>
        <w:pStyle w:val="Normal"/>
        <w:framePr w:w="288" w:hAnchor="page" w:vAnchor="page" w:x="8084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774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(50.1)   $</w:t>
      </w:r>
    </w:p>
    <w:p>
      <w:pPr>
        <w:pStyle w:val="Normal"/>
        <w:framePr w:w="656" w:hAnchor="page" w:vAnchor="page" w:x="1012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(22.2)</w:t>
      </w:r>
    </w:p>
    <w:p>
      <w:pPr>
        <w:pStyle w:val="Normal"/>
        <w:framePr w:w="288" w:hAnchor="page" w:vAnchor="page" w:x="10681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42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614.0 </w:t>
      </w:r>
    </w:p>
    <w:p>
      <w:pPr>
        <w:pStyle w:val="Normal"/>
        <w:framePr w:w="2527" w:hAnchor="page" w:vAnchor="page" w:x="353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5998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164.8 </w:t>
      </w:r>
    </w:p>
    <w:p>
      <w:pPr>
        <w:pStyle w:val="Normal"/>
        <w:framePr w:w="576" w:hAnchor="page" w:vAnchor="page" w:x="7459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26.2 </w:t>
      </w:r>
    </w:p>
    <w:p>
      <w:pPr>
        <w:pStyle w:val="Normal"/>
        <w:framePr w:w="480" w:hAnchor="page" w:vAnchor="page" w:x="8920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32" w:hAnchor="page" w:vAnchor="page" w:x="10311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42" w:y="52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191.6 </w:t>
      </w:r>
    </w:p>
    <w:p>
      <w:pPr>
        <w:pStyle w:val="Normal"/>
        <w:framePr w:w="832" w:hAnchor="page" w:vAnchor="page" w:x="848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60" w:hAnchor="page" w:vAnchor="page" w:x="6091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656" w:hAnchor="page" w:vAnchor="page" w:x="7393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(72.8)</w:t>
      </w:r>
    </w:p>
    <w:p>
      <w:pPr>
        <w:pStyle w:val="Normal"/>
        <w:framePr w:w="480" w:hAnchor="page" w:vAnchor="page" w:x="8920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432" w:hAnchor="page" w:vAnchor="page" w:x="10311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356" w:y="48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(67.8)</w:t>
      </w:r>
    </w:p>
    <w:p>
      <w:pPr>
        <w:pStyle w:val="Normal"/>
        <w:framePr w:w="4255" w:hAnchor="page" w:vAnchor="page" w:x="578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2" w:hAnchor="page" w:vAnchor="page" w:x="6198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7393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2" w:hAnchor="page" w:vAnchor="page" w:x="8960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11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356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3616" w:hAnchor="page" w:vAnchor="page" w:x="578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60" w:hAnchor="page" w:vAnchor="page" w:x="6091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80" w:hAnchor="page" w:vAnchor="page" w:x="7539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480" w:hAnchor="page" w:vAnchor="page" w:x="892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432" w:hAnchor="page" w:vAnchor="page" w:x="10311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02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1884" w:hAnchor="page" w:vAnchor="page" w:x="353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53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37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998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434.3 </w:t>
      </w:r>
    </w:p>
    <w:p>
      <w:pPr>
        <w:pStyle w:val="Normal"/>
        <w:framePr w:w="288" w:hAnchor="page" w:vAnchor="page" w:x="6703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379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134.0 </w:t>
      </w:r>
    </w:p>
    <w:p>
      <w:pPr>
        <w:pStyle w:val="Normal"/>
        <w:framePr w:w="288" w:hAnchor="page" w:vAnchor="page" w:x="8084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774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(55.9)   $</w:t>
      </w:r>
    </w:p>
    <w:p>
      <w:pPr>
        <w:pStyle w:val="Normal"/>
        <w:framePr w:w="656" w:hAnchor="page" w:vAnchor="page" w:x="10125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(22.2)</w:t>
      </w:r>
    </w:p>
    <w:p>
      <w:pPr>
        <w:pStyle w:val="Normal"/>
        <w:framePr w:w="288" w:hAnchor="page" w:vAnchor="page" w:x="10681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42" w:y="37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490.2 </w:t>
      </w:r>
    </w:p>
    <w:p>
      <w:pPr>
        <w:pStyle w:val="Normal"/>
        <w:framePr w:w="864" w:hAnchor="page" w:vAnchor="page" w:x="353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37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878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3,743.9 </w:t>
      </w:r>
    </w:p>
    <w:p>
      <w:pPr>
        <w:pStyle w:val="Normal"/>
        <w:framePr w:w="288" w:hAnchor="page" w:vAnchor="page" w:x="6703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379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623.7 </w:t>
      </w:r>
    </w:p>
    <w:p>
      <w:pPr>
        <w:pStyle w:val="Normal"/>
        <w:framePr w:w="288" w:hAnchor="page" w:vAnchor="page" w:x="8084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8960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11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681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22" w:y="3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4,367.6 </w:t>
      </w:r>
    </w:p>
    <w:p>
      <w:pPr>
        <w:pStyle w:val="Normal"/>
        <w:framePr w:w="768" w:hAnchor="page" w:vAnchor="page" w:x="5700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876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43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31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10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051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272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46" w:y="29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148" w:y="27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707" w:hAnchor="page" w:vAnchor="page" w:x="7981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863" w:hAnchor="page" w:vAnchor="page" w:x="5414" w:y="198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7pt;margin-top:1pt;z-index:-167690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13pt;margin-top:843.95pt;z-index:-167690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13pt;margin-top:844.7pt;z-index:-167690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596.25pt;margin-top:843.95pt;z-index:-167690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13pt;margin-top:843.95pt;z-index:-167690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210.15pt;margin-top:88.05pt;z-index:-16769020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190.35pt;margin-top:96.35pt;z-index:-16769016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265.2pt;margin-top:121.85pt;z-index:-16769012;width:33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265.2pt;margin-top:133.85pt;z-index:-16769008;width:33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32.45pt;margin-top:185.65pt;z-index:-167690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37.7pt;margin-top:185.65pt;z-index:-1676900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86.5pt;margin-top:185.65pt;z-index:-167689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532.45pt;margin-top:334.3pt;z-index:-167689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532.45pt;margin-top:336.55pt;z-index:-167689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463.4pt;margin-top:334.3pt;z-index:-167689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463.4pt;margin-top:336.55pt;z-index:-167689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402.6pt;margin-top:334.3pt;z-index:-167689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402.6pt;margin-top:336.55pt;z-index:-16768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333.5pt;margin-top:334.3pt;z-index:-167689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333.5pt;margin-top:336.55pt;z-index:-167689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265.2pt;margin-top:334.3pt;z-index:-167689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265.2pt;margin-top:336.55pt;z-index:-167689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586.5pt;margin-top:322.25pt;z-index:-167689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586.5pt;margin-top:334.3pt;z-index:-167689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586.5pt;margin-top:336.55pt;z-index:-167689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537.7pt;margin-top:322.25pt;z-index:-167689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537.7pt;margin-top:334.3pt;z-index:-167689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537.7pt;margin-top:336.55pt;z-index:-167689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532.45pt;margin-top:334.3pt;z-index:-16768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32.45pt;margin-top:336.55pt;z-index:-167689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24.95pt;margin-top:322.25pt;z-index:-16768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24.95pt;margin-top:334.3pt;z-index:-16768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524.95pt;margin-top:336.55pt;z-index:-16768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468.65pt;margin-top:322.25pt;z-index:-167689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468.65pt;margin-top:334.3pt;z-index:-167689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68.65pt;margin-top:336.55pt;z-index:-167689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463.4pt;margin-top:334.3pt;z-index:-16768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463.4pt;margin-top:336.55pt;z-index:-16768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457.4pt;margin-top:322.25pt;z-index:-16768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457.4pt;margin-top:334.3pt;z-index:-16768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457.4pt;margin-top:336.55pt;z-index:-16768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407.85pt;margin-top:322.25pt;z-index:-167688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407.85pt;margin-top:334.3pt;z-index:-167688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07.85pt;margin-top:336.55pt;z-index:-167688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02.6pt;margin-top:334.3pt;z-index:-16768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402.6pt;margin-top:336.55pt;z-index:-16768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388.3pt;margin-top:322.25pt;z-index:-167688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388.3pt;margin-top:334.3pt;z-index:-167688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388.3pt;margin-top:336.55pt;z-index:-16768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338.8pt;margin-top:322.25pt;z-index:-167688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38.8pt;margin-top:334.3pt;z-index:-167688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38.8pt;margin-top:336.55pt;z-index:-167688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33.5pt;margin-top:334.3pt;z-index:-16768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33.5pt;margin-top:336.55pt;z-index:-16768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19.25pt;margin-top:322.25pt;z-index:-167688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19.25pt;margin-top:334.3pt;z-index:-167688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19.25pt;margin-top:336.55pt;z-index:-167688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270.45pt;margin-top:322.25pt;z-index:-167688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270.45pt;margin-top:334.3pt;z-index:-167688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270.45pt;margin-top:336.55pt;z-index:-167688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265.2pt;margin-top:334.3pt;z-index:-16768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265.2pt;margin-top:336.55pt;z-index:-167687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32.45pt;margin-top:322.25pt;z-index:-167687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463.4pt;margin-top:322.25pt;z-index:-167687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402.6pt;margin-top:322.25pt;z-index:-167687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333.5pt;margin-top:322.25pt;z-index:-167687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265.2pt;margin-top:322.25pt;z-index:-167687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532.45pt;margin-top:293pt;z-index:-167687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63.4pt;margin-top:293pt;z-index:-167687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02.6pt;margin-top:293pt;z-index:-167687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333.5pt;margin-top:293pt;z-index:-167687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265.2pt;margin-top:293pt;z-index:-167687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586.5pt;margin-top:281pt;z-index:-167687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86.5pt;margin-top:293pt;z-index:-167687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537.7pt;margin-top:281pt;z-index:-167687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537.7pt;margin-top:293pt;z-index:-167687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32.45pt;margin-top:293pt;z-index:-16768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24.95pt;margin-top:281pt;z-index:-16768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24.95pt;margin-top:293pt;z-index:-16768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68.65pt;margin-top:281pt;z-index:-16768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68.65pt;margin-top:293pt;z-index:-167687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463.4pt;margin-top:293pt;z-index:-167687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457.4pt;margin-top:281pt;z-index:-1676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57.4pt;margin-top:293pt;z-index:-16768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07.85pt;margin-top:281pt;z-index:-167687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07.85pt;margin-top:293pt;z-index:-167687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02.6pt;margin-top:293pt;z-index:-16768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388.3pt;margin-top:281pt;z-index:-167686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88.3pt;margin-top:293pt;z-index:-167686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338.8pt;margin-top:281pt;z-index:-167686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338.8pt;margin-top:293pt;z-index:-167686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333.5pt;margin-top:293pt;z-index:-16768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19.25pt;margin-top:281pt;z-index:-16768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319.25pt;margin-top:293pt;z-index:-167686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270.45pt;margin-top:281pt;z-index:-167686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270.45pt;margin-top:293pt;z-index:-167686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265.2pt;margin-top:293pt;z-index:-16768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532.45pt;margin-top:281pt;z-index:-167686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63.4pt;margin-top:281pt;z-index:-167686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402.6pt;margin-top:281pt;z-index:-167686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333.5pt;margin-top:281pt;z-index:-167686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265.2pt;margin-top:281pt;z-index:-167686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586.5pt;margin-top:239.7pt;z-index:-167686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532.45pt;margin-top:239.7pt;z-index:-167686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524.95pt;margin-top:239.7pt;z-index:-16768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463.4pt;margin-top:239.7pt;z-index:-167686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457.4pt;margin-top:239.7pt;z-index:-16768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402.6pt;margin-top:239.7pt;z-index:-167686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388.3pt;margin-top:239.7pt;z-index:-167686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333.5pt;margin-top:239.7pt;z-index:-167686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319.25pt;margin-top:239.7pt;z-index:-167686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265.2pt;margin-top:239.7pt;z-index:-167685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86.5pt;margin-top:164.65pt;z-index:-167685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537.7pt;margin-top:164.65pt;z-index:-167685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24.95pt;margin-top:164.65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68.65pt;margin-top:164.65pt;z-index:-16768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457.4pt;margin-top:164.65pt;z-index:-16768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407.85pt;margin-top:164.65pt;z-index:-167685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388.3pt;margin-top:164.65pt;z-index:-16768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338.8pt;margin-top:164.65pt;z-index:-167685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319.25pt;margin-top:164.65pt;z-index:-167685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270.45pt;margin-top:164.65pt;z-index:-167685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32.45pt;margin-top:145.1pt;z-index:-167685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532.45pt;margin-top:164.65pt;z-index:-167685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526.45pt;margin-top:145.1pt;z-index:-16768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63.4pt;margin-top:145.1pt;z-index:-167685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63.4pt;margin-top:164.65pt;z-index:-167685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458.9pt;margin-top:145.1pt;z-index:-167685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402.6pt;margin-top:145.1pt;z-index:-167685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02.6pt;margin-top:164.65pt;z-index:-167685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396.6pt;margin-top:145.1pt;z-index:-16768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333.5pt;margin-top:145.1pt;z-index:-167685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333.5pt;margin-top:164.65pt;z-index:-167685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327.5pt;margin-top:145.1pt;z-index:-16768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265.2pt;margin-top:164.65pt;z-index:-167685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265.2pt;margin-top:145.1pt;z-index:-1676850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265.2pt;margin-top:121.85pt;z-index:-1676849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586.5pt;margin-top:121.85pt;z-index:-167684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537.7pt;margin-top:121.85pt;z-index:-167684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532.45pt;margin-top:121.85pt;z-index:-16768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530.95pt;margin-top:121.85pt;z-index:-16768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527.95pt;margin-top:121.85pt;z-index:-167684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526.45pt;margin-top:121.85pt;z-index:-16768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24.95pt;margin-top:121.85pt;z-index:-16768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468.65pt;margin-top:121.85pt;z-index:-167684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463.4pt;margin-top:121.85pt;z-index:-16768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461.9pt;margin-top:121.85pt;z-index:-16768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460.4pt;margin-top:121.85pt;z-index:-16768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458.9pt;margin-top:121.85pt;z-index:-16768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457.4pt;margin-top:121.85pt;z-index:-16768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07.85pt;margin-top:121.85pt;z-index:-167684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02.6pt;margin-top:121.85pt;z-index:-16768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401.1pt;margin-top:121.85pt;z-index:-1676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398.1pt;margin-top:121.85pt;z-index:-167684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396.6pt;margin-top:121.85pt;z-index:-1676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388.3pt;margin-top:121.85pt;z-index:-167684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338.8pt;margin-top:121.85pt;z-index:-167684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333.5pt;margin-top:121.85pt;z-index:-16768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332pt;margin-top:121.85pt;z-index:-1676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29pt;margin-top:121.85pt;z-index:-167684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27.5pt;margin-top:121.85pt;z-index:-1676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19.25pt;margin-top:121.85pt;z-index:-167683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270.45pt;margin-top:121.85pt;z-index:-167683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265.2pt;margin-top:121.85pt;z-index:-167683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</w:p>
    <w:p>
      <w:pPr>
        <w:pStyle w:val="Normal"/>
        <w:framePr w:w="1778" w:hAnchor="page" w:vAnchor="page" w:x="5459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24</w:t>
      </w:r>
    </w:p>
    <w:p>
      <w:pPr>
        <w:pStyle w:val="Normal"/>
        <w:framePr w:w="6480" w:hAnchor="page" w:vAnchor="page" w:x="280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are treated as a penalty and as such, do not trigger tax charges or benefits.</w:t>
      </w:r>
    </w:p>
    <w:p>
      <w:pPr>
        <w:pStyle w:val="Normal"/>
        <w:framePr w:w="14202" w:hAnchor="page" w:vAnchor="page" w:x="280" w:y="87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*The non-recurring legal settlement charges reflect the impact of the resolution of all outstanding matters with the PNF (reference to Note 15 of the 10-Q). For taxation purposes the</w:t>
      </w:r>
    </w:p>
    <w:p>
      <w:pPr>
        <w:pStyle w:val="Normal"/>
        <w:framePr w:w="4784" w:hAnchor="page" w:vAnchor="page" w:x="300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265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12.5 %</w:t>
      </w:r>
    </w:p>
    <w:p>
      <w:pPr>
        <w:pStyle w:val="Normal"/>
        <w:framePr w:w="750" w:hAnchor="page" w:vAnchor="page" w:x="7647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12.8 %</w:t>
      </w:r>
    </w:p>
    <w:p>
      <w:pPr>
        <w:pStyle w:val="Normal"/>
        <w:framePr w:w="743" w:hAnchor="page" w:vAnchor="page" w:x="11481" w:y="81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11.1 %</w:t>
      </w:r>
    </w:p>
    <w:p>
      <w:pPr>
        <w:pStyle w:val="Normal"/>
        <w:framePr w:w="2225" w:hAnchor="page" w:vAnchor="page" w:x="300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265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12.5 %</w:t>
      </w:r>
    </w:p>
    <w:p>
      <w:pPr>
        <w:pStyle w:val="Normal"/>
        <w:framePr w:w="750" w:hAnchor="page" w:vAnchor="page" w:x="7647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12.8 %</w:t>
      </w:r>
    </w:p>
    <w:p>
      <w:pPr>
        <w:pStyle w:val="Normal"/>
        <w:framePr w:w="654" w:hAnchor="page" w:vAnchor="page" w:x="11555" w:y="77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9.8 %</w:t>
      </w:r>
    </w:p>
    <w:p>
      <w:pPr>
        <w:pStyle w:val="Normal"/>
        <w:framePr w:w="2966" w:hAnchor="page" w:vAnchor="page" w:x="300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654" w:hAnchor="page" w:vAnchor="page" w:x="7727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7.0 %</w:t>
      </w:r>
    </w:p>
    <w:p>
      <w:pPr>
        <w:pStyle w:val="Normal"/>
        <w:framePr w:w="654" w:hAnchor="page" w:vAnchor="page" w:x="11555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1.1 %</w:t>
      </w:r>
    </w:p>
    <w:p>
      <w:pPr>
        <w:pStyle w:val="Normal"/>
        <w:framePr w:w="4196" w:hAnchor="page" w:vAnchor="page" w:x="300" w:y="69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52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375.7 </w:t>
      </w:r>
    </w:p>
    <w:p>
      <w:pPr>
        <w:pStyle w:val="Normal"/>
        <w:framePr w:w="288" w:hAnchor="page" w:vAnchor="page" w:x="689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87.2 </w:t>
      </w:r>
    </w:p>
    <w:p>
      <w:pPr>
        <w:pStyle w:val="Normal"/>
        <w:framePr w:w="288" w:hAnchor="page" w:vAnchor="page" w:x="8272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(53.3)   $</w:t>
      </w:r>
    </w:p>
    <w:p>
      <w:pPr>
        <w:pStyle w:val="Normal"/>
        <w:framePr w:w="432" w:hAnchor="page" w:vAnchor="page" w:x="1036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409.6 </w:t>
      </w:r>
    </w:p>
    <w:p>
      <w:pPr>
        <w:pStyle w:val="Normal"/>
        <w:framePr w:w="1893" w:hAnchor="page" w:vAnchor="page" w:x="300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86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46.2 </w:t>
      </w:r>
    </w:p>
    <w:p>
      <w:pPr>
        <w:pStyle w:val="Normal"/>
        <w:framePr w:w="576" w:hAnchor="page" w:vAnchor="page" w:x="11475" w:y="65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46.2 </w:t>
      </w:r>
    </w:p>
    <w:p>
      <w:pPr>
        <w:pStyle w:val="Normal"/>
        <w:framePr w:w="1637" w:hAnchor="page" w:vAnchor="page" w:x="300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375.7 </w:t>
      </w:r>
    </w:p>
    <w:p>
      <w:pPr>
        <w:pStyle w:val="Normal"/>
        <w:framePr w:w="288" w:hAnchor="page" w:vAnchor="page" w:x="6891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87.2 </w:t>
      </w:r>
    </w:p>
    <w:p>
      <w:pPr>
        <w:pStyle w:val="Normal"/>
        <w:framePr w:w="288" w:hAnchor="page" w:vAnchor="page" w:x="8272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(53.3)   $</w:t>
      </w:r>
    </w:p>
    <w:p>
      <w:pPr>
        <w:pStyle w:val="Normal"/>
        <w:framePr w:w="656" w:hAnchor="page" w:vAnchor="page" w:x="10177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(46.2)</w:t>
      </w:r>
    </w:p>
    <w:p>
      <w:pPr>
        <w:pStyle w:val="Normal"/>
        <w:framePr w:w="288" w:hAnchor="page" w:vAnchor="page" w:x="10734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1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363.4 </w:t>
      </w:r>
    </w:p>
    <w:p>
      <w:pPr>
        <w:pStyle w:val="Normal"/>
        <w:framePr w:w="2527" w:hAnchor="page" w:vAnchor="page" w:x="300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155.1 </w:t>
      </w:r>
    </w:p>
    <w:p>
      <w:pPr>
        <w:pStyle w:val="Normal"/>
        <w:framePr w:w="576" w:hAnchor="page" w:vAnchor="page" w:x="7647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33.8 </w:t>
      </w:r>
    </w:p>
    <w:p>
      <w:pPr>
        <w:pStyle w:val="Normal"/>
        <w:framePr w:w="480" w:hAnchor="page" w:vAnchor="page" w:x="9108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2" w:hAnchor="page" w:vAnchor="page" w:x="10364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190.0 </w:t>
      </w:r>
    </w:p>
    <w:p>
      <w:pPr>
        <w:pStyle w:val="Normal"/>
        <w:framePr w:w="832" w:hAnchor="page" w:vAnchor="page" w:x="795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345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80" w:hAnchor="page" w:vAnchor="page" w:x="7727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672" w:hAnchor="page" w:vAnchor="page" w:x="8948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132.2 </w:t>
      </w:r>
    </w:p>
    <w:p>
      <w:pPr>
        <w:pStyle w:val="Normal"/>
        <w:framePr w:w="3275" w:hAnchor="page" w:vAnchor="page" w:x="525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6386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948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2635" w:hAnchor="page" w:vAnchor="page" w:x="525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480" w:hAnchor="page" w:vAnchor="page" w:x="6345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80" w:hAnchor="page" w:vAnchor="page" w:x="7727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432" w:hAnchor="page" w:vAnchor="page" w:x="9148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1884" w:hAnchor="page" w:vAnchor="page" w:x="300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524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220.2 </w:t>
      </w:r>
    </w:p>
    <w:p>
      <w:pPr>
        <w:pStyle w:val="Normal"/>
        <w:framePr w:w="288" w:hAnchor="page" w:vAnchor="page" w:x="6891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48.1 </w:t>
      </w:r>
    </w:p>
    <w:p>
      <w:pPr>
        <w:pStyle w:val="Normal"/>
        <w:framePr w:w="288" w:hAnchor="page" w:vAnchor="page" w:x="8272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881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(180.9)   $</w:t>
      </w:r>
    </w:p>
    <w:p>
      <w:pPr>
        <w:pStyle w:val="Normal"/>
        <w:framePr w:w="656" w:hAnchor="page" w:vAnchor="page" w:x="10177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(46.2)</w:t>
      </w:r>
    </w:p>
    <w:p>
      <w:pPr>
        <w:pStyle w:val="Normal"/>
        <w:framePr w:w="288" w:hAnchor="page" w:vAnchor="page" w:x="10734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475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41.2 </w:t>
      </w:r>
    </w:p>
    <w:p>
      <w:pPr>
        <w:pStyle w:val="Normal"/>
        <w:framePr w:w="864" w:hAnchor="page" w:vAnchor="page" w:x="30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3,006.0 </w:t>
      </w:r>
    </w:p>
    <w:p>
      <w:pPr>
        <w:pStyle w:val="Normal"/>
        <w:framePr w:w="288" w:hAnchor="page" w:vAnchor="page" w:x="6891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683.6 </w:t>
      </w:r>
    </w:p>
    <w:p>
      <w:pPr>
        <w:pStyle w:val="Normal"/>
        <w:framePr w:w="288" w:hAnchor="page" w:vAnchor="page" w:x="8272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3,689.6 </w:t>
      </w:r>
    </w:p>
    <w:p>
      <w:pPr>
        <w:pStyle w:val="Normal"/>
        <w:framePr w:w="768" w:hAnchor="page" w:vAnchor="page" w:x="5888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551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766" w:y="34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68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707" w:hAnchor="page" w:vAnchor="page" w:x="8101" w:y="30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863" w:hAnchor="page" w:vAnchor="page" w:x="5414" w:y="197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(In millions, unaudited)</w:t>
      </w:r>
    </w:p>
    <w:p>
      <w:pPr>
        <w:pStyle w:val="Normal"/>
        <w:framePr w:w="5670" w:hAnchor="page" w:vAnchor="page" w:x="3827" w:y="180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RECONCILIATION OF GAAP TO NON-GAAP FINANCIAL MEASURES</w:t>
      </w:r>
    </w:p>
    <w:p>
      <w:pPr>
        <w:pStyle w:val="Normal"/>
        <w:framePr w:w="4722" w:hAnchor="page" w:vAnchor="page" w:x="4223" w:y="1642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7pt;margin-top:1pt;z-index:-16768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13pt;margin-top:517.45pt;z-index:-16768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13pt;margin-top:518.2pt;z-index:-16768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596.25pt;margin-top:517.45pt;z-index:-16768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13pt;margin-top:517.45pt;z-index:-16768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210.15pt;margin-top:88.05pt;z-index:-16768364;width:19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190.35pt;margin-top:96.35pt;z-index:-16768360;width:23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411.6pt;margin-top:211.2pt;z-index:-167683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416.85pt;margin-top:211.2pt;z-index:-1676835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466.4pt;margin-top:211.2pt;z-index:-16768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467.9pt;margin-top:211.2pt;z-index:-167683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472.4pt;margin-top:211.2pt;z-index:-167683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477.65pt;margin-top:211.2pt;z-index:-1676833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527.2pt;margin-top:211.2pt;z-index:-16768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13pt;margin-top:324.5pt;z-index:-16768328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534.7pt;margin-top:356.05pt;z-index:-167683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534.7pt;margin-top:358.3pt;z-index:-167683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472.4pt;margin-top:356.05pt;z-index:-167683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472.4pt;margin-top:358.3pt;z-index:-167683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411.6pt;margin-top:356.05pt;z-index:-167683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411.6pt;margin-top:358.3pt;z-index:-167683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42.55pt;margin-top:356.05pt;z-index:-167683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342.55pt;margin-top:358.3pt;z-index:-167682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274.2pt;margin-top:356.05pt;z-index:-167682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274.2pt;margin-top:358.3pt;z-index:-167682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588.75pt;margin-top:344.05pt;z-index:-167682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588.75pt;margin-top:356.05pt;z-index:-167682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588.75pt;margin-top:358.3pt;z-index:-167682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539.95pt;margin-top:344.05pt;z-index:-167682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539.95pt;margin-top:356.05pt;z-index:-167682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539.95pt;margin-top:358.3pt;z-index:-167682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534.7pt;margin-top:356.05pt;z-index:-16768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34.7pt;margin-top:358.3pt;z-index:-16768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27.2pt;margin-top:344.05pt;z-index:-16768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27.2pt;margin-top:356.05pt;z-index:-16768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27.2pt;margin-top:358.3pt;z-index:-16768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477.65pt;margin-top:344.05pt;z-index:-167682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477.65pt;margin-top:356.05pt;z-index:-167682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77.65pt;margin-top:358.3pt;z-index:-167682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72.4pt;margin-top:356.05pt;z-index:-167682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72.4pt;margin-top:358.3pt;z-index:-16768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66.4pt;margin-top:344.05pt;z-index:-16768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466.4pt;margin-top:356.05pt;z-index:-16768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466.4pt;margin-top:358.3pt;z-index:-16768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416.85pt;margin-top:344.05pt;z-index:-167682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416.85pt;margin-top:356.05pt;z-index:-167682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416.85pt;margin-top:358.3pt;z-index:-167682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411.6pt;margin-top:356.05pt;z-index:-16768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411.6pt;margin-top:358.3pt;z-index:-167681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397.35pt;margin-top:344.05pt;z-index:-167681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397.35pt;margin-top:356.05pt;z-index:-167681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397.35pt;margin-top:358.3pt;z-index:-167681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347.8pt;margin-top:344.05pt;z-index:-167681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347.8pt;margin-top:356.05pt;z-index:-167681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347.8pt;margin-top:358.3pt;z-index:-167681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342.55pt;margin-top:356.05pt;z-index:-167681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342.55pt;margin-top:358.3pt;z-index:-16768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328.25pt;margin-top:344.05pt;z-index:-167681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328.25pt;margin-top:356.05pt;z-index:-167681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328.25pt;margin-top:358.3pt;z-index:-167681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279.5pt;margin-top:344.05pt;z-index:-167681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279.5pt;margin-top:356.05pt;z-index:-167681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279.5pt;margin-top:358.3pt;z-index:-167681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274.2pt;margin-top:356.05pt;z-index:-16768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274.2pt;margin-top:358.3pt;z-index:-167681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534.7pt;margin-top:344.05pt;z-index:-167681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72.4pt;margin-top:344.05pt;z-index:-167681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11.6pt;margin-top:344.05pt;z-index:-167681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342.55pt;margin-top:344.05pt;z-index:-167681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274.2pt;margin-top:344.05pt;z-index:-167681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34.7pt;margin-top:316.25pt;z-index:-167681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472.4pt;margin-top:316.25pt;z-index:-167681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411.6pt;margin-top:316.25pt;z-index:-167680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42.55pt;margin-top:316.25pt;z-index:-167680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274.2pt;margin-top:316.25pt;z-index:-167680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588.75pt;margin-top:304.25pt;z-index:-167680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88.75pt;margin-top:316.25pt;z-index:-167680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39.95pt;margin-top:304.25pt;z-index:-167680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539.95pt;margin-top:316.25pt;z-index:-167680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534.7pt;margin-top:316.25pt;z-index:-16768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527.2pt;margin-top:304.25pt;z-index:-16768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527.2pt;margin-top:316.25pt;z-index:-16768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477.65pt;margin-top:304.25pt;z-index:-167680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477.65pt;margin-top:316.25pt;z-index:-167680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472.4pt;margin-top:316.25pt;z-index:-16768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466.4pt;margin-top:304.25pt;z-index:-16768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66.4pt;margin-top:316.25pt;z-index:-16768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416.85pt;margin-top:304.25pt;z-index:-167680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416.85pt;margin-top:316.25pt;z-index:-167680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411.6pt;margin-top:316.25pt;z-index:-16768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397.35pt;margin-top:304.25pt;z-index:-167680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97.35pt;margin-top:316.25pt;z-index:-167680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47.8pt;margin-top:304.25pt;z-index:-16768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347.8pt;margin-top:316.25pt;z-index:-16768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342.55pt;margin-top:316.25pt;z-index:-16768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328.25pt;margin-top:304.25pt;z-index:-167680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328.25pt;margin-top:316.25pt;z-index:-167680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279.5pt;margin-top:304.25pt;z-index:-167679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279.5pt;margin-top:316.25pt;z-index:-167679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274.2pt;margin-top:316.25pt;z-index:-16767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534.7pt;margin-top:304.25pt;z-index:-167679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472.4pt;margin-top:304.25pt;z-index:-167679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11.6pt;margin-top:304.25pt;z-index:-167679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342.55pt;margin-top:304.25pt;z-index:-167679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274.2pt;margin-top:304.25pt;z-index:-167679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588.75pt;margin-top:264.45pt;z-index:-167679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34.7pt;margin-top:264.45pt;z-index:-167679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527.2pt;margin-top:264.45pt;z-index:-16767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472.4pt;margin-top:264.45pt;z-index:-167679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466.4pt;margin-top:264.45pt;z-index:-16767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411.6pt;margin-top:264.45pt;z-index:-1676794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397.35pt;margin-top:264.45pt;z-index:-167679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342.55pt;margin-top:264.45pt;z-index:-167679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328.25pt;margin-top:264.45pt;z-index:-167679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274.2pt;margin-top:264.45pt;z-index:-167679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88.75pt;margin-top:190.9pt;z-index:-167679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39.95pt;margin-top:190.9pt;z-index:-167679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527.2pt;margin-top:190.9pt;z-index:-16767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77.65pt;margin-top:190.9pt;z-index:-167679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466.4pt;margin-top:190.9pt;z-index:-16767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16.85pt;margin-top:190.9pt;z-index:-167679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397.35pt;margin-top:190.9pt;z-index:-167679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347.8pt;margin-top:190.9pt;z-index:-167678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328.25pt;margin-top:190.9pt;z-index:-167678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279.5pt;margin-top:190.9pt;z-index:-167678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34.7pt;margin-top:171.4pt;z-index:-167678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534.7pt;margin-top:190.9pt;z-index:-167678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528.7pt;margin-top:171.4pt;z-index:-16767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72.4pt;margin-top:171.4pt;z-index:-167678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72.4pt;margin-top:190.9pt;z-index:-16767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67.9pt;margin-top:171.4pt;z-index:-167678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11.6pt;margin-top:171.4pt;z-index:-167678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11.6pt;margin-top:190.9pt;z-index:-167678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405.6pt;margin-top:171.4pt;z-index:-16767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42.55pt;margin-top:171.4pt;z-index:-167678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42.55pt;margin-top:190.9pt;z-index:-167678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36.55pt;margin-top:171.4pt;z-index:-16767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274.2pt;margin-top:190.9pt;z-index:-167678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274.2pt;margin-top:171.4pt;z-index:-16767832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274.2pt;margin-top:148.1pt;z-index:-16767828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88.75pt;margin-top:148.1pt;z-index:-167678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39.95pt;margin-top:148.1pt;z-index:-167678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34.7pt;margin-top:148.1pt;z-index:-16767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533.2pt;margin-top:148.1pt;z-index:-16767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530.2pt;margin-top:148.1pt;z-index:-167678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28.7pt;margin-top:148.1pt;z-index:-16767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27.2pt;margin-top:148.1pt;z-index:-16767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77.65pt;margin-top:148.1pt;z-index:-167677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472.4pt;margin-top:148.1pt;z-index:-16767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470.9pt;margin-top:148.1pt;z-index:-16767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469.4pt;margin-top:148.1pt;z-index:-16767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467.9pt;margin-top:148.1pt;z-index:-16767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466.4pt;margin-top:148.1pt;z-index:-16767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416.85pt;margin-top:148.1pt;z-index:-167677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11.6pt;margin-top:148.1pt;z-index:-167677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10.1pt;margin-top:148.1pt;z-index:-16767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07.1pt;margin-top:148.1pt;z-index:-167677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05.6pt;margin-top:148.1pt;z-index:-16767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397.35pt;margin-top:148.1pt;z-index:-167677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347.8pt;margin-top:148.1pt;z-index:-167677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342.55pt;margin-top:148.1pt;z-index:-16767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341.05pt;margin-top:148.1pt;z-index:-16767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338.05pt;margin-top:148.1pt;z-index:-1676773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336.55pt;margin-top:148.1pt;z-index:-16767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328.25pt;margin-top:148.1pt;z-index:-167677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279.5pt;margin-top:148.1pt;z-index:-167677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274.2pt;margin-top:148.1pt;z-index:-16767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</w:p>
    <w:p>
      <w:pPr>
        <w:pStyle w:val="Normal"/>
        <w:framePr w:w="1778" w:hAnchor="page" w:vAnchor="page" w:x="5459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24</w:t>
      </w:r>
    </w:p>
    <w:p>
      <w:pPr>
        <w:pStyle w:val="Normal"/>
        <w:framePr w:w="4238" w:hAnchor="page" w:vAnchor="page" w:x="280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our operating performance or liquidity.</w:t>
      </w:r>
    </w:p>
    <w:p>
      <w:pPr>
        <w:pStyle w:val="Normal"/>
        <w:framePr w:w="14247" w:hAnchor="page" w:vAnchor="page" w:x="280" w:y="5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considered an alternative to, or more meaningful than, cash and cash equivalents as determined in accordance with U.S. GAAP or as an indicator</w:t>
      </w:r>
    </w:p>
    <w:p>
      <w:pPr>
        <w:pStyle w:val="Normal"/>
        <w:framePr w:w="14242" w:hAnchor="page" w:vAnchor="page" w:x="280" w:y="51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recognizing underlying trends in our capital structure. Net (debt) cash should not be</w:t>
      </w:r>
    </w:p>
    <w:p>
      <w:pPr>
        <w:pStyle w:val="Normal"/>
        <w:framePr w:w="14239" w:hAnchor="page" w:vAnchor="page" w:x="280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to evaluate our capital structure and financial leverage. We believe net debt, or net cash, is a meaningful financial measure that may</w:t>
      </w:r>
    </w:p>
    <w:p>
      <w:pPr>
        <w:pStyle w:val="Normal"/>
        <w:framePr w:w="14246" w:hAnchor="page" w:vAnchor="page" w:x="280" w:y="46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(debt) cash is a non-GAAP financial measure reflecting cash and cash equivalents, net of debt. Management uses this non-GAAP financial</w:t>
      </w:r>
    </w:p>
    <w:p>
      <w:pPr>
        <w:pStyle w:val="Normal"/>
        <w:framePr w:w="1060" w:hAnchor="page" w:vAnchor="page" w:x="323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debt</w:t>
      </w:r>
    </w:p>
    <w:p>
      <w:pPr>
        <w:pStyle w:val="Normal"/>
        <w:framePr w:w="360" w:hAnchor="page" w:vAnchor="page" w:x="5532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264" w:hAnchor="page" w:vAnchor="page" w:x="6955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(260.2)   $</w:t>
      </w:r>
    </w:p>
    <w:p>
      <w:pPr>
        <w:pStyle w:val="Normal"/>
        <w:framePr w:w="1264" w:hAnchor="page" w:vAnchor="page" w:x="9132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(327.0)   $</w:t>
      </w:r>
    </w:p>
    <w:p>
      <w:pPr>
        <w:pStyle w:val="Normal"/>
        <w:framePr w:w="940" w:hAnchor="page" w:vAnchor="page" w:x="11324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(844.0)</w:t>
      </w:r>
    </w:p>
    <w:p>
      <w:pPr>
        <w:pStyle w:val="Normal"/>
        <w:framePr w:w="3714" w:hAnchor="page" w:vAnchor="page" w:x="323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940" w:hAnchor="page" w:vAnchor="page" w:x="6955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(646.8)</w:t>
      </w:r>
    </w:p>
    <w:p>
      <w:pPr>
        <w:pStyle w:val="Normal"/>
        <w:framePr w:w="940" w:hAnchor="page" w:vAnchor="page" w:x="9132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(887.2)</w:t>
      </w:r>
    </w:p>
    <w:p>
      <w:pPr>
        <w:pStyle w:val="Normal"/>
        <w:framePr w:w="940" w:hAnchor="page" w:vAnchor="page" w:x="11324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(999.7)</w:t>
      </w:r>
    </w:p>
    <w:p>
      <w:pPr>
        <w:pStyle w:val="Normal"/>
        <w:framePr w:w="5394" w:hAnchor="page" w:vAnchor="page" w:x="323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940" w:hAnchor="page" w:vAnchor="page" w:x="6955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(321.6)</w:t>
      </w:r>
    </w:p>
    <w:p>
      <w:pPr>
        <w:pStyle w:val="Normal"/>
        <w:framePr w:w="940" w:hAnchor="page" w:vAnchor="page" w:x="9132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(136.6)</w:t>
      </w:r>
    </w:p>
    <w:p>
      <w:pPr>
        <w:pStyle w:val="Normal"/>
        <w:framePr w:w="940" w:hAnchor="page" w:vAnchor="page" w:x="11324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(429.5)</w:t>
      </w:r>
    </w:p>
    <w:p>
      <w:pPr>
        <w:pStyle w:val="Normal"/>
        <w:framePr w:w="2767" w:hAnchor="page" w:vAnchor="page" w:x="323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5532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7039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708.2    $</w:t>
      </w:r>
    </w:p>
    <w:p>
      <w:pPr>
        <w:pStyle w:val="Normal"/>
        <w:framePr w:w="1164" w:hAnchor="page" w:vAnchor="page" w:x="9215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696.8    $</w:t>
      </w:r>
    </w:p>
    <w:p>
      <w:pPr>
        <w:pStyle w:val="Normal"/>
        <w:framePr w:w="840" w:hAnchor="page" w:vAnchor="page" w:x="11407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585.2 </w:t>
      </w:r>
    </w:p>
    <w:p>
      <w:pPr>
        <w:pStyle w:val="Normal"/>
        <w:framePr w:w="1634" w:hAnchor="page" w:vAnchor="page" w:x="5960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2024</w:t>
      </w:r>
    </w:p>
    <w:p>
      <w:pPr>
        <w:pStyle w:val="Normal"/>
        <w:framePr w:w="1829" w:hAnchor="page" w:vAnchor="page" w:x="805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 2024</w:t>
      </w:r>
    </w:p>
    <w:p>
      <w:pPr>
        <w:pStyle w:val="Normal"/>
        <w:framePr w:w="1634" w:hAnchor="page" w:vAnchor="page" w:x="10321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2023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7pt;margin-top:1pt;z-index:-167677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13pt;margin-top:341.8pt;z-index:-167677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13pt;margin-top:342.55pt;z-index:-167677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96.25pt;margin-top:341.8pt;z-index:-167677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13pt;margin-top:341.8pt;z-index:-167677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169.45pt;margin-top:91.1pt;z-index:-1676769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141.2pt;margin-top:103.1pt;z-index:-1676769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274.95pt;margin-top:145.85pt;z-index:-16767688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377.8pt;margin-top:145.85pt;z-index:-167676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383.8pt;margin-top:145.85pt;z-index:-16767680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486.65pt;margin-top:145.85pt;z-index:-167676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492.65pt;margin-top:145.85pt;z-index:-16767672;width:105.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594.75pt;margin-top:211.2pt;z-index:-16767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594.75pt;margin-top:213.45pt;z-index:-16767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98.65pt;margin-top:197.65pt;z-index:-1676766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98.65pt;margin-top:211.2pt;z-index:-16767656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98.65pt;margin-top:213.45pt;z-index:-16767652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92.65pt;margin-top:211.2pt;z-index:-16767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492.65pt;margin-top:213.45pt;z-index:-16767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485.15pt;margin-top:211.2pt;z-index:-16767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485.15pt;margin-top:213.45pt;z-index:-16767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389.8pt;margin-top:197.65pt;z-index:-1676763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389.8pt;margin-top:211.2pt;z-index:-1676762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89.8pt;margin-top:213.45pt;z-index:-16767624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383.8pt;margin-top:211.2pt;z-index:-16767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383.8pt;margin-top:213.45pt;z-index:-16767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376.3pt;margin-top:211.2pt;z-index:-16767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376.3pt;margin-top:213.45pt;z-index:-16767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281pt;margin-top:197.65pt;z-index:-16767604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281pt;margin-top:211.2pt;z-index:-1676760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281pt;margin-top:213.45pt;z-index:-1676759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274.95pt;margin-top:211.2pt;z-index:-16767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274.95pt;margin-top:213.45pt;z-index:-16767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594.75pt;margin-top:197.65pt;z-index:-16767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492.65pt;margin-top:197.65pt;z-index:-16767580;width:1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485.15pt;margin-top:197.65pt;z-index:-16767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383.8pt;margin-top:197.65pt;z-index:-16767572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376.3pt;margin-top:197.65pt;z-index:-16767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274.95pt;margin-top:197.65pt;z-index:-16767564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94.75pt;margin-top:158.65pt;z-index:-16767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98.65pt;margin-top:158.65pt;z-index:-16767556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85.15pt;margin-top:158.65pt;z-index:-16767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389.8pt;margin-top:158.65pt;z-index:-1676754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376.3pt;margin-top:158.65pt;z-index:-16767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281pt;margin-top:158.65pt;z-index:-1676754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92.65pt;margin-top:158.65pt;z-index:-16767536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383.8pt;margin-top:158.65pt;z-index:-16767532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274.95pt;margin-top:158.65pt;z-index:-16767528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</w:p>
    <w:p>
      <w:pPr>
        <w:pStyle w:val="Normal"/>
        <w:framePr w:w="1778" w:hAnchor="page" w:vAnchor="page" w:x="5459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24</w:t>
      </w:r>
    </w:p>
    <w:p>
      <w:pPr>
        <w:pStyle w:val="Normal"/>
        <w:framePr w:w="11882" w:hAnchor="page" w:vAnchor="page" w:x="280" w:y="51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meaningful financial measure that may assist investors in understanding our financial condition and results of operations.</w:t>
      </w:r>
    </w:p>
    <w:p>
      <w:pPr>
        <w:pStyle w:val="Normal"/>
        <w:framePr w:w="14248" w:hAnchor="page" w:vAnchor="page" w:x="280" w:y="48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expenditures. Management uses this non-GAAP financial measure to evaluate our financial condition. We believe free cash flow (deficit) is a</w:t>
      </w:r>
    </w:p>
    <w:p>
      <w:pPr>
        <w:pStyle w:val="Normal"/>
        <w:framePr w:w="14239" w:hAnchor="page" w:vAnchor="page" w:x="280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 cash  flow  (deficit),  is  a  non-GAAP  financial  measure  and  is  defined  as  cash  provided  (required)  by  operating  activities  less  capital</w:t>
      </w:r>
    </w:p>
    <w:p>
      <w:pPr>
        <w:pStyle w:val="Normal"/>
        <w:framePr w:w="2487" w:hAnchor="page" w:vAnchor="page" w:x="300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</w:t>
      </w:r>
    </w:p>
    <w:p>
      <w:pPr>
        <w:pStyle w:val="Normal"/>
        <w:framePr w:w="360" w:hAnchor="page" w:vAnchor="page" w:x="6035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28" w:hAnchor="page" w:vAnchor="page" w:x="7767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180.1    $</w:t>
      </w:r>
    </w:p>
    <w:p>
      <w:pPr>
        <w:pStyle w:val="Normal"/>
        <w:framePr w:w="888" w:hAnchor="page" w:vAnchor="page" w:x="9828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1.4    $</w:t>
      </w:r>
    </w:p>
    <w:p>
      <w:pPr>
        <w:pStyle w:val="Normal"/>
        <w:framePr w:w="940" w:hAnchor="page" w:vAnchor="page" w:x="11346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(340.1)</w:t>
      </w:r>
    </w:p>
    <w:p>
      <w:pPr>
        <w:pStyle w:val="Normal"/>
        <w:framePr w:w="2220" w:hAnchor="page" w:vAnchor="page" w:x="300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expenditures</w:t>
      </w:r>
    </w:p>
    <w:p>
      <w:pPr>
        <w:pStyle w:val="Normal"/>
        <w:framePr w:w="820" w:hAnchor="page" w:vAnchor="page" w:x="7784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(50.8)</w:t>
      </w:r>
    </w:p>
    <w:p>
      <w:pPr>
        <w:pStyle w:val="Normal"/>
        <w:framePr w:w="940" w:hAnchor="page" w:vAnchor="page" w:x="9545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(102.8)</w:t>
      </w:r>
    </w:p>
    <w:p>
      <w:pPr>
        <w:pStyle w:val="Normal"/>
        <w:framePr w:w="931" w:hAnchor="page" w:vAnchor="page" w:x="11354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(110.1)</w:t>
      </w:r>
    </w:p>
    <w:p>
      <w:pPr>
        <w:pStyle w:val="Normal"/>
        <w:framePr w:w="4847" w:hAnchor="page" w:vAnchor="page" w:x="30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provided (required) by operating activities</w:t>
      </w:r>
    </w:p>
    <w:p>
      <w:pPr>
        <w:pStyle w:val="Normal"/>
        <w:framePr w:w="360" w:hAnchor="page" w:vAnchor="page" w:x="6035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28" w:hAnchor="page" w:vAnchor="page" w:x="7767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230.9    $</w:t>
      </w:r>
    </w:p>
    <w:p>
      <w:pPr>
        <w:pStyle w:val="Normal"/>
        <w:framePr w:w="1128" w:hAnchor="page" w:vAnchor="page" w:x="9628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104.2    $</w:t>
      </w:r>
    </w:p>
    <w:p>
      <w:pPr>
        <w:pStyle w:val="Normal"/>
        <w:framePr w:w="940" w:hAnchor="page" w:vAnchor="page" w:x="11346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(230.0)</w:t>
      </w:r>
    </w:p>
    <w:p>
      <w:pPr>
        <w:pStyle w:val="Normal"/>
        <w:framePr w:w="720" w:hAnchor="page" w:vAnchor="page" w:x="6956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9073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10904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1094" w:hAnchor="page" w:vAnchor="page" w:x="6800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3049" w:hAnchor="page" w:vAnchor="page" w:x="9003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Six Months Ended June 30,</w:t>
      </w:r>
    </w:p>
    <w:p>
      <w:pPr>
        <w:pStyle w:val="Normal"/>
        <w:framePr w:w="2424" w:hAnchor="page" w:vAnchor="page" w:x="624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7pt;margin-top:1pt;z-index:-16767524;width:598pt;height:316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169.45pt;margin-top:91.1pt;z-index:-1676752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141.2pt;margin-top:103.1pt;z-index:-16767516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299.75pt;margin-top:132.35pt;z-index:-16767512;width:116.1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413.85pt;margin-top:132.35pt;z-index:-16767508;width:6.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418.35pt;margin-top:132.35pt;z-index:-16767504;width:180.6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595.5pt;margin-top:208.95pt;z-index:-16767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595.5pt;margin-top:211.2pt;z-index:-16767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517.45pt;margin-top:195.4pt;z-index:-1676749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517.45pt;margin-top:208.95pt;z-index:-1676748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517.45pt;margin-top:211.2pt;z-index:-1676748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511.4pt;margin-top:208.95pt;z-index:-16767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511.4pt;margin-top:211.2pt;z-index:-16767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05.4pt;margin-top:208.95pt;z-index:-16767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505.4pt;margin-top:211.2pt;z-index:-16767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424.35pt;margin-top:195.4pt;z-index:-1676746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424.35pt;margin-top:208.95pt;z-index:-16767460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424.35pt;margin-top:211.2pt;z-index:-16767456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418.35pt;margin-top:208.95pt;z-index:-16767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18.35pt;margin-top:211.2pt;z-index:-16767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412.35pt;margin-top:208.95pt;z-index:-16767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412.35pt;margin-top:211.2pt;z-index:-16767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305.75pt;margin-top:195.4pt;z-index:-167674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305.75pt;margin-top:208.95pt;z-index:-1676743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305.75pt;margin-top:211.2pt;z-index:-1676742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299.75pt;margin-top:208.95pt;z-index:-16767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299.75pt;margin-top:211.2pt;z-index:-16767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95.5pt;margin-top:195.4pt;z-index:-16767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11.4pt;margin-top:195.4pt;z-index:-1676741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505.4pt;margin-top:195.4pt;z-index:-16767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18.35pt;margin-top:195.4pt;z-index:-16767404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12.35pt;margin-top:195.4pt;z-index:-16767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299.75pt;margin-top:195.4pt;z-index:-16767396;width:11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595.5pt;margin-top:169.15pt;z-index:-16767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517.45pt;margin-top:169.15pt;z-index:-1676738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505.4pt;margin-top:169.15pt;z-index:-16767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424.35pt;margin-top:169.15pt;z-index:-16767380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412.35pt;margin-top:169.15pt;z-index:-16767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305.75pt;margin-top:169.15pt;z-index:-1676737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511.4pt;margin-top:155.65pt;z-index:-1676736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511.4pt;margin-top:169.15pt;z-index:-1676736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06.9pt;margin-top:155.65pt;z-index:-167673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418.35pt;margin-top:169.15pt;z-index:-16767356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299.75pt;margin-top:169.15pt;z-index:-16767352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418.35pt;margin-top:155.65pt;z-index:-16767348;width:18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299.75pt;margin-top:155.65pt;z-index:-16767344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</w:p>
    <w:sectPr>
      <w:pgSz w:w="12240" w:h="20160"/>
      <w:pgMar w:top="400" w:right="400" w:bottom="400" w:left="400" w:header="720" w:footer="720"/>
      <w:pgNumType w:start="27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4f9ba28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0b244c23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caef09b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styles.xml" Type="http://schemas.openxmlformats.org/officeDocument/2006/relationships/styles"/><Relationship Id="rId247" Target="media/image247.png" Type="http://schemas.openxmlformats.org/officeDocument/2006/relationships/image"/><Relationship Id="rId2470" Target="fontTable.xml" Type="http://schemas.openxmlformats.org/officeDocument/2006/relationships/fontTable"/><Relationship Id="rId2471" Target="settings.xml" Type="http://schemas.openxmlformats.org/officeDocument/2006/relationships/settings"/><Relationship Id="rId2472" Target="webSettings.xml" Type="http://schemas.openxmlformats.org/officeDocument/2006/relationships/webSettings"/><Relationship Id="rId248" Target="media/image248.png" Type="http://schemas.openxmlformats.org/officeDocument/2006/relationships/image"/><Relationship Id="rId249" Target="media/image24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1" Target="media/image251.png" Type="http://schemas.openxmlformats.org/officeDocument/2006/relationships/image"/><Relationship Id="rId252" Target="media/image252.png" Type="http://schemas.openxmlformats.org/officeDocument/2006/relationships/image"/><Relationship Id="rId253" Target="media/image253.png" Type="http://schemas.openxmlformats.org/officeDocument/2006/relationships/image"/><Relationship Id="rId254" Target="media/image254.png" Type="http://schemas.openxmlformats.org/officeDocument/2006/relationships/image"/><Relationship Id="rId255" Target="media/image255.png" Type="http://schemas.openxmlformats.org/officeDocument/2006/relationships/image"/><Relationship Id="rId256" Target="media/image256.png" Type="http://schemas.openxmlformats.org/officeDocument/2006/relationships/image"/><Relationship Id="rId257" Target="media/image257.png" Type="http://schemas.openxmlformats.org/officeDocument/2006/relationships/image"/><Relationship Id="rId258" Target="media/image258.png" Type="http://schemas.openxmlformats.org/officeDocument/2006/relationships/image"/><Relationship Id="rId259" Target="media/image25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1" Target="media/image261.png" Type="http://schemas.openxmlformats.org/officeDocument/2006/relationships/image"/><Relationship Id="rId262" Target="media/image262.png" Type="http://schemas.openxmlformats.org/officeDocument/2006/relationships/image"/><Relationship Id="rId263" Target="media/image263.png" Type="http://schemas.openxmlformats.org/officeDocument/2006/relationships/image"/><Relationship Id="rId264" Target="media/image264.png" Type="http://schemas.openxmlformats.org/officeDocument/2006/relationships/image"/><Relationship Id="rId265" Target="media/image265.png" Type="http://schemas.openxmlformats.org/officeDocument/2006/relationships/image"/><Relationship Id="rId266" Target="media/image266.png" Type="http://schemas.openxmlformats.org/officeDocument/2006/relationships/image"/><Relationship Id="rId267" Target="media/image267.png" Type="http://schemas.openxmlformats.org/officeDocument/2006/relationships/image"/><Relationship Id="rId268" Target="media/image268.png" Type="http://schemas.openxmlformats.org/officeDocument/2006/relationships/image"/><Relationship Id="rId269" Target="media/image26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1" Target="media/image271.png" Type="http://schemas.openxmlformats.org/officeDocument/2006/relationships/image"/><Relationship Id="rId272" Target="media/image272.png" Type="http://schemas.openxmlformats.org/officeDocument/2006/relationships/image"/><Relationship Id="rId273" Target="media/image273.jpeg" Type="http://schemas.openxmlformats.org/officeDocument/2006/relationships/image"/><Relationship Id="rId274" Target="media/image274.png" Type="http://schemas.openxmlformats.org/officeDocument/2006/relationships/image"/><Relationship Id="rId275" Target="media/image275.png" Type="http://schemas.openxmlformats.org/officeDocument/2006/relationships/image"/><Relationship Id="rId276" Target="media/image276.png" Type="http://schemas.openxmlformats.org/officeDocument/2006/relationships/image"/><Relationship Id="rId277" Target="media/image277.png" Type="http://schemas.openxmlformats.org/officeDocument/2006/relationships/image"/><Relationship Id="rId278" Target="media/image278.png" Type="http://schemas.openxmlformats.org/officeDocument/2006/relationships/image"/><Relationship Id="rId279" Target="media/image279.jpe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1" Target="media/image281.png" Type="http://schemas.openxmlformats.org/officeDocument/2006/relationships/image"/><Relationship Id="rId282" Target="media/image282.png" Type="http://schemas.openxmlformats.org/officeDocument/2006/relationships/image"/><Relationship Id="rId283" Target="media/image283.png" Type="http://schemas.openxmlformats.org/officeDocument/2006/relationships/image"/><Relationship Id="rId284" Target="media/image284.png" Type="http://schemas.openxmlformats.org/officeDocument/2006/relationships/image"/><Relationship Id="rId285" Target="media/image285.png" Type="http://schemas.openxmlformats.org/officeDocument/2006/relationships/image"/><Relationship Id="rId286" Target="media/image286.png" Type="http://schemas.openxmlformats.org/officeDocument/2006/relationships/image"/><Relationship Id="rId287" Target="media/image287.png" Type="http://schemas.openxmlformats.org/officeDocument/2006/relationships/image"/><Relationship Id="rId288" Target="media/image288.png" Type="http://schemas.openxmlformats.org/officeDocument/2006/relationships/image"/><Relationship Id="rId289" Target="media/image28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1" Target="media/image291.png" Type="http://schemas.openxmlformats.org/officeDocument/2006/relationships/image"/><Relationship Id="rId292" Target="media/image292.png" Type="http://schemas.openxmlformats.org/officeDocument/2006/relationships/image"/><Relationship Id="rId293" Target="media/image293.png" Type="http://schemas.openxmlformats.org/officeDocument/2006/relationships/image"/><Relationship Id="rId294" Target="media/image294.png" Type="http://schemas.openxmlformats.org/officeDocument/2006/relationships/image"/><Relationship Id="rId295" Target="media/image295.png" Type="http://schemas.openxmlformats.org/officeDocument/2006/relationships/image"/><Relationship Id="rId296" Target="media/image296.png" Type="http://schemas.openxmlformats.org/officeDocument/2006/relationships/image"/><Relationship Id="rId297" Target="media/image297.png" Type="http://schemas.openxmlformats.org/officeDocument/2006/relationships/image"/><Relationship Id="rId298" Target="media/image298.png" Type="http://schemas.openxmlformats.org/officeDocument/2006/relationships/image"/><Relationship Id="rId299" Target="media/image2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1" Target="media/image301.png" Type="http://schemas.openxmlformats.org/officeDocument/2006/relationships/image"/><Relationship Id="rId302" Target="media/image302.png" Type="http://schemas.openxmlformats.org/officeDocument/2006/relationships/image"/><Relationship Id="rId303" Target="media/image303.png" Type="http://schemas.openxmlformats.org/officeDocument/2006/relationships/image"/><Relationship Id="rId304" Target="media/image304.png" Type="http://schemas.openxmlformats.org/officeDocument/2006/relationships/image"/><Relationship Id="rId305" Target="media/image305.png" Type="http://schemas.openxmlformats.org/officeDocument/2006/relationships/image"/><Relationship Id="rId306" Target="media/image306.png" Type="http://schemas.openxmlformats.org/officeDocument/2006/relationships/image"/><Relationship Id="rId307" Target="media/image307.png" Type="http://schemas.openxmlformats.org/officeDocument/2006/relationships/image"/><Relationship Id="rId308" Target="media/image308.png" Type="http://schemas.openxmlformats.org/officeDocument/2006/relationships/image"/><Relationship Id="rId309" Target="media/image30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1" Target="media/image311.png" Type="http://schemas.openxmlformats.org/officeDocument/2006/relationships/image"/><Relationship Id="rId312" Target="media/image312.png" Type="http://schemas.openxmlformats.org/officeDocument/2006/relationships/image"/><Relationship Id="rId313" Target="media/image313.png" Type="http://schemas.openxmlformats.org/officeDocument/2006/relationships/image"/><Relationship Id="rId314" Target="media/image314.png" Type="http://schemas.openxmlformats.org/officeDocument/2006/relationships/image"/><Relationship Id="rId315" Target="media/image315.png" Type="http://schemas.openxmlformats.org/officeDocument/2006/relationships/image"/><Relationship Id="rId316" Target="media/image316.png" Type="http://schemas.openxmlformats.org/officeDocument/2006/relationships/image"/><Relationship Id="rId317" Target="media/image317.png" Type="http://schemas.openxmlformats.org/officeDocument/2006/relationships/image"/><Relationship Id="rId318" Target="media/image318.png" Type="http://schemas.openxmlformats.org/officeDocument/2006/relationships/image"/><Relationship Id="rId319" Target="media/image31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1" Target="media/image321.png" Type="http://schemas.openxmlformats.org/officeDocument/2006/relationships/image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jpe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jpe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jpe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jpe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jpe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jpe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jpe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jpe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27</Pages>
  <Words>6789</Words>
  <Characters>37282</Characters>
  <Application>e-iceblue</Application>
  <DocSecurity>0</DocSecurity>
  <Lines>1769</Lines>
  <Paragraphs>1769</Paragraphs>
  <ScaleCrop>false</ScaleCrop>
  <Company>e-iceblue</Company>
  <LinksUpToDate>false</LinksUpToDate>
  <CharactersWithSpaces>43585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2024-07-25T11:43:05Z</dcterms:created>
  <dc:creator>root</dc:creator>
  <cp:lastModifiedBy>root</cp:lastModifiedBy>
  <dcterms:modified xsi:type="dcterms:W3CDTF">2024-07-25T11:43:05Z</dcterms:modified>
  <cp:revision>1</cp:revision>
</cp:coreProperties>
</file>