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832" w:hAnchor="page" w:vAnchor="page" w:x="628" w:y="1933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With:</w:t>
      </w:r>
    </w:p>
    <w:p>
      <w:pPr>
        <w:pStyle w:val="Normal"/>
        <w:framePr w:w="3152" w:hAnchor="page" w:vAnchor="page" w:x="1609" w:y="1935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7  Sole Dispositive Power </w:t>
      </w:r>
    </w:p>
    <w:p>
      <w:pPr>
        <w:pStyle w:val="Normal"/>
        <w:framePr w:w="942" w:hAnchor="page" w:vAnchor="page" w:x="578" w:y="1907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Person</w:t>
      </w:r>
    </w:p>
    <w:p>
      <w:pPr>
        <w:pStyle w:val="Normal"/>
        <w:framePr w:w="726" w:hAnchor="page" w:vAnchor="page" w:x="1856" w:y="1901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0.00</w:t>
      </w:r>
    </w:p>
    <w:p>
      <w:pPr>
        <w:pStyle w:val="Normal"/>
        <w:framePr w:w="1272" w:hAnchor="page" w:vAnchor="page" w:x="428" w:y="188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Reporting</w:t>
      </w:r>
    </w:p>
    <w:p>
      <w:pPr>
        <w:pStyle w:val="Normal"/>
        <w:framePr w:w="396" w:hAnchor="page" w:vAnchor="page" w:x="1609" w:y="18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6</w:t>
      </w:r>
    </w:p>
    <w:p>
      <w:pPr>
        <w:pStyle w:val="Normal"/>
        <w:framePr w:w="757" w:hAnchor="page" w:vAnchor="page" w:x="662" w:y="1856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Each</w:t>
      </w:r>
    </w:p>
    <w:p>
      <w:pPr>
        <w:pStyle w:val="Normal"/>
        <w:framePr w:w="2718" w:hAnchor="page" w:vAnchor="page" w:x="1856" w:y="18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Shared Voting Power </w:t>
      </w:r>
    </w:p>
    <w:p>
      <w:pPr>
        <w:pStyle w:val="Normal"/>
        <w:framePr w:w="1279" w:hAnchor="page" w:vAnchor="page" w:x="424" w:y="1831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Owned by</w:t>
      </w:r>
    </w:p>
    <w:p>
      <w:pPr>
        <w:pStyle w:val="Normal"/>
        <w:framePr w:w="1783" w:hAnchor="page" w:vAnchor="page" w:x="1856" w:y="1812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17,343,477.00</w:t>
      </w:r>
    </w:p>
    <w:p>
      <w:pPr>
        <w:pStyle w:val="Normal"/>
        <w:framePr w:w="1430" w:hAnchor="page" w:vAnchor="page" w:x="356" w:y="1805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Beneficially</w:t>
      </w:r>
    </w:p>
    <w:p>
      <w:pPr>
        <w:pStyle w:val="Normal"/>
        <w:framePr w:w="396" w:hAnchor="page" w:vAnchor="page" w:x="1609" w:y="1785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5</w:t>
      </w:r>
    </w:p>
    <w:p>
      <w:pPr>
        <w:pStyle w:val="Normal"/>
        <w:framePr w:w="924" w:hAnchor="page" w:vAnchor="page" w:x="586" w:y="1780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Shares</w:t>
      </w:r>
    </w:p>
    <w:p>
      <w:pPr>
        <w:pStyle w:val="Normal"/>
        <w:framePr w:w="2385" w:hAnchor="page" w:vAnchor="page" w:x="1856" w:y="175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Sole Voting Power </w:t>
      </w:r>
    </w:p>
    <w:p>
      <w:pPr>
        <w:pStyle w:val="Normal"/>
        <w:framePr w:w="1344" w:hAnchor="page" w:vAnchor="page" w:x="395" w:y="1754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Number of</w:t>
      </w:r>
    </w:p>
    <w:p>
      <w:pPr>
        <w:pStyle w:val="Normal"/>
        <w:framePr w:w="1530" w:hAnchor="page" w:vAnchor="page" w:x="1526" w:y="1721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DELAWARE</w:t>
      </w:r>
    </w:p>
    <w:p>
      <w:pPr>
        <w:pStyle w:val="Normal"/>
        <w:framePr w:w="361" w:hAnchor="page" w:vAnchor="page" w:x="842" w:y="1696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4</w:t>
      </w:r>
    </w:p>
    <w:p>
      <w:pPr>
        <w:pStyle w:val="Normal"/>
        <w:framePr w:w="3998" w:hAnchor="page" w:vAnchor="page" w:x="1526" w:y="1670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Citizenship or Place of Organization </w:t>
      </w:r>
    </w:p>
    <w:p>
      <w:pPr>
        <w:pStyle w:val="Normal"/>
        <w:framePr w:w="361" w:hAnchor="page" w:vAnchor="page" w:x="842" w:y="163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3</w:t>
      </w:r>
    </w:p>
    <w:p>
      <w:pPr>
        <w:pStyle w:val="Normal"/>
        <w:framePr w:w="1575" w:hAnchor="page" w:vAnchor="page" w:x="1526" w:y="163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Sec Use Only</w:t>
      </w:r>
    </w:p>
    <w:p>
      <w:pPr>
        <w:pStyle w:val="Normal"/>
        <w:framePr w:w="2440" w:hAnchor="page" w:vAnchor="page" w:x="1766" w:y="1604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Checkbox checked  (b)</w:t>
      </w:r>
    </w:p>
    <w:p>
      <w:pPr>
        <w:pStyle w:val="Normal"/>
        <w:framePr w:w="2849" w:hAnchor="page" w:vAnchor="page" w:x="1766" w:y="1579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Checkbox not checked  (a) </w:t>
      </w:r>
    </w:p>
    <w:p>
      <w:pPr>
        <w:pStyle w:val="Normal"/>
        <w:framePr w:w="361" w:hAnchor="page" w:vAnchor="page" w:x="842" w:y="1565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2</w:t>
      </w:r>
    </w:p>
    <w:p>
      <w:pPr>
        <w:pStyle w:val="Normal"/>
        <w:framePr w:w="7256" w:hAnchor="page" w:vAnchor="page" w:x="1526" w:y="152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Check the appropriate box if a member of a Group (see instructions) </w:t>
      </w:r>
    </w:p>
    <w:p>
      <w:pPr>
        <w:pStyle w:val="Normal"/>
        <w:framePr w:w="1780" w:hAnchor="page" w:vAnchor="page" w:x="1526" w:y="1495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BlackRock, Inc.</w:t>
      </w:r>
    </w:p>
    <w:p>
      <w:pPr>
        <w:pStyle w:val="Normal"/>
        <w:framePr w:w="361" w:hAnchor="page" w:vAnchor="page" w:x="842" w:y="146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</w:t>
      </w:r>
    </w:p>
    <w:p>
      <w:pPr>
        <w:pStyle w:val="Normal"/>
        <w:framePr w:w="3186" w:hAnchor="page" w:vAnchor="page" w:x="1526" w:y="1444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Names of Reporting Persons </w:t>
      </w:r>
    </w:p>
    <w:p>
      <w:pPr>
        <w:pStyle w:val="Normal"/>
        <w:framePr w:w="2688" w:hAnchor="page" w:vAnchor="page" w:x="340" w:y="13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CUSIP No. 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G87110105</w:t>
      </w:r>
    </w:p>
    <w:p>
      <w:pPr>
        <w:pStyle w:val="Normal"/>
        <w:framePr w:w="2599" w:hAnchor="page" w:vAnchor="page" w:x="332" w:y="12829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4358" w:hAnchor="page" w:vAnchor="page" w:x="565" w:y="1060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Checkbox not checked   Rule 13d-1(d)</w:t>
      </w:r>
    </w:p>
    <w:p>
      <w:pPr>
        <w:pStyle w:val="Normal"/>
        <w:framePr w:w="4344" w:hAnchor="page" w:vAnchor="page" w:x="565" w:y="1027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Checkbox not checked   Rule 13d-1(c)</w:t>
      </w:r>
    </w:p>
    <w:p>
      <w:pPr>
        <w:pStyle w:val="Normal"/>
        <w:framePr w:w="3955" w:hAnchor="page" w:vAnchor="page" w:x="565" w:y="99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Checkbox checked   Rule 13d-1(b)</w:t>
      </w:r>
    </w:p>
    <w:p>
      <w:pPr>
        <w:pStyle w:val="Normal"/>
        <w:framePr w:w="9568" w:hAnchor="page" w:vAnchor="page" w:x="325" w:y="961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 the appropriate box to designate the rule pursuant to which this Schedule is filed:</w:t>
      </w:r>
    </w:p>
    <w:p>
      <w:pPr>
        <w:pStyle w:val="Normal"/>
        <w:framePr w:w="5914" w:hAnchor="page" w:vAnchor="page" w:x="2461" w:y="87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(Date of Event Which Requires Filing of this Statement)</w:t>
      </w:r>
    </w:p>
    <w:p>
      <w:pPr>
        <w:pStyle w:val="Normal"/>
        <w:framePr w:w="1325" w:hAnchor="page" w:vAnchor="page" w:x="4547" w:y="831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03/31/2025</w:t>
      </w:r>
    </w:p>
    <w:p>
      <w:pPr>
        <w:pStyle w:val="Normal"/>
        <w:framePr w:w="2018" w:hAnchor="page" w:vAnchor="page" w:x="4232" w:y="748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(CUSIP Number)</w:t>
      </w:r>
    </w:p>
    <w:p>
      <w:pPr>
        <w:pStyle w:val="Normal"/>
        <w:framePr w:w="1364" w:hAnchor="page" w:vAnchor="page" w:x="4529" w:y="706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G87110105</w:t>
      </w:r>
    </w:p>
    <w:p>
      <w:pPr>
        <w:pStyle w:val="Normal"/>
        <w:framePr w:w="3036" w:hAnchor="page" w:vAnchor="page" w:x="3769" w:y="62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(Title of Class of Securities)</w:t>
      </w:r>
    </w:p>
    <w:p>
      <w:pPr>
        <w:pStyle w:val="Normal"/>
        <w:framePr w:w="1807" w:hAnchor="page" w:vAnchor="page" w:x="4328" w:y="582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Common Stock</w:t>
      </w:r>
    </w:p>
    <w:p>
      <w:pPr>
        <w:pStyle w:val="Normal"/>
        <w:framePr w:w="1932" w:hAnchor="page" w:vAnchor="page" w:x="4271" w:y="499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(Name of Issuer)</w:t>
      </w:r>
    </w:p>
    <w:p>
      <w:pPr>
        <w:pStyle w:val="Normal"/>
        <w:framePr w:w="1956" w:hAnchor="page" w:vAnchor="page" w:x="4260" w:y="45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TechnipFMC plc</w:t>
      </w:r>
    </w:p>
    <w:p>
      <w:pPr>
        <w:pStyle w:val="Normal"/>
        <w:framePr w:w="2242" w:hAnchor="page" w:vAnchor="page" w:x="4130" w:y="375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(Amendment No. </w:t>
      </w: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1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)</w:t>
      </w:r>
    </w:p>
    <w:p>
      <w:pPr>
        <w:pStyle w:val="Normal"/>
        <w:framePr w:w="6544" w:hAnchor="page" w:vAnchor="page" w:x="2179" w:y="3420"/>
        <w:widowControl w:val="off"/>
        <w:autoSpaceDE w:val="off"/>
        <w:autoSpaceDN w:val="off"/>
        <w:spacing w:before="0" w:after="0" w:line="25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UNDER THE SECURITIES EXCHANGE ACT OF 1934</w:t>
      </w:r>
    </w:p>
    <w:p>
      <w:pPr>
        <w:pStyle w:val="Normal"/>
        <w:framePr w:w="2736" w:hAnchor="page" w:vAnchor="page" w:x="3941" w:y="25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9"/>
          <w:szCs w:val="2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5375" w:hAnchor="page" w:vAnchor="page" w:x="2811" w:y="1516"/>
        <w:widowControl w:val="off"/>
        <w:autoSpaceDE w:val="off"/>
        <w:autoSpaceDN w:val="off"/>
        <w:spacing w:before="0" w:after="0" w:line="47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  <w:t>Washington, D.C. 20549</w:t>
      </w:r>
    </w:p>
    <w:p>
      <w:pPr>
        <w:pStyle w:val="Normal"/>
        <w:framePr w:w="10831" w:hAnchor="page" w:vAnchor="page" w:x="331" w:y="1021"/>
        <w:widowControl w:val="off"/>
        <w:autoSpaceDE w:val="off"/>
        <w:autoSpaceDN w:val="off"/>
        <w:spacing w:before="0" w:after="0" w:line="47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  <w:t xml:space="preserve">SECURITIES AND EXCHANGE COMMISSION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5.25pt;margin-top:186.4pt;z-index:-16777208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227.7pt;z-index:-16777204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5.25pt;margin-top:245.7pt;z-index:-16777200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5.25pt;margin-top:290pt;z-index:-16777196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5.25pt;margin-top:308pt;z-index:-16777192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5.25pt;margin-top:352.3pt;z-index:-16777188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5.25pt;margin-top:370.3pt;z-index:-16777184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5.25pt;margin-top:414.6pt;z-index:-16777180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432.6pt;z-index:-16777176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.4pt;margin-top:671.7pt;z-index:-16777172;width:241.45pt;height:20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.4pt;margin-top:718.25pt;z-index:-16777168;width:585.25pt;height:288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5.25pt;margin-top:816.95pt;z-index:-16777164;width:59.0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3.8pt;margin-top:816.95pt;z-index:-16777160;width:522.9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25pt;margin-top:759.9pt;z-index:-1677715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71.55pt;margin-top:720.1pt;z-index:-167771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25pt;margin-top:720.1pt;z-index:-167771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73.8pt;margin-top:759.9pt;z-index:-16777144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594pt;margin-top:720.1pt;z-index:-167771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73.8pt;margin-top:720.1pt;z-index:-167771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75.3pt;margin-top:746.4pt;z-index:-16777132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25pt;margin-top:814.7pt;z-index:-1677712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1.55pt;margin-top:762.15pt;z-index:-167771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5.25pt;margin-top:762.15pt;z-index:-1677712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73.8pt;margin-top:814.7pt;z-index:-1677711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94pt;margin-top:762.15pt;z-index:-167771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73.8pt;margin-top:762.15pt;z-index:-1677710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75.3pt;margin-top:788.4pt;z-index:-16777104;width:519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5.25pt;margin-top:831.2pt;z-index:-1677710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71.55pt;margin-top:816.95pt;z-index:-1677709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816.95pt;z-index:-16777092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73.8pt;margin-top:831.2pt;z-index:-16777088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94pt;margin-top:816.95pt;z-index:-1677708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73.8pt;margin-top:816.95pt;z-index:-16777080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5.25pt;margin-top:873.25pt;z-index:-1677707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1.55pt;margin-top:833.45pt;z-index:-167770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5.25pt;margin-top:833.45pt;z-index:-1677706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73.8pt;margin-top:873.25pt;z-index:-16777064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594pt;margin-top:833.45pt;z-index:-167770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73.8pt;margin-top:833.45pt;z-index:-1677705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75.3pt;margin-top:859.7pt;z-index:-16777052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71.55pt;margin-top:875.5pt;z-index:-16777048;width:2.75pt;height:13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5.25pt;margin-top:875.5pt;z-index:-16777044;width:2.75pt;height:13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594pt;margin-top:875.5pt;z-index:-16777040;width:2.75pt;height:13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73.8pt;margin-top:875.5pt;z-index:-16777036;width:2.75pt;height:13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76.8pt;margin-top:919.75pt;z-index:-16777032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88.05pt;margin-top:877.75pt;z-index:-16777028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90.3pt;margin-top:919.75pt;z-index:-16777024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90.3pt;margin-top:877.75pt;z-index:-16777020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91.8pt;margin-top:905.5pt;z-index:-16777016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76.8pt;margin-top:964.05pt;z-index:-16777012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88.05pt;margin-top:922pt;z-index:-16777008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90.3pt;margin-top:964.05pt;z-index:-16777004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90.3pt;margin-top:922pt;z-index:-16777000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91.8pt;margin-top:949.8pt;z-index:-16776996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88.05pt;margin-top:966.3pt;z-index:-16776992;width:2.7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90.3pt;margin-top:966.3pt;z-index:-16776988;width:2.7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6.25pt;margin-top:497.4pt;z-index:-167769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16.25pt;margin-top:513.95pt;z-index:-1677698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6.25pt;margin-top:530.45pt;z-index:-1677697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76.3pt;margin-top:789.4pt;z-index:-1677697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76.3pt;margin-top:802.15pt;z-index:-1677696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3pt;margin-top:22pt;z-index:-16776964;width:586pt;height: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3pt;margin-top:46.05pt;z-index:-1677696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5.25pt;margin-top:247.2pt;z-index:-16776956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5.25pt;margin-top:309.5pt;z-index:-16776952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5.25pt;margin-top:371.8pt;z-index:-16776948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5.25pt;margin-top:434.1pt;z-index:-16776944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pt;margin-top:558.7pt;z-index:-1677694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pt;margin-top:575.25pt;z-index:-16776936;width:586pt;height: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</w:p>
    <w:p>
      <w:pPr>
        <w:pStyle w:val="Normal"/>
        <w:framePr w:w="532" w:hAnchor="page" w:vAnchor="page" w:x="643" w:y="1937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(k)</w:t>
      </w:r>
    </w:p>
    <w:p>
      <w:pPr>
        <w:pStyle w:val="Normal"/>
        <w:framePr w:w="8245" w:hAnchor="page" w:vAnchor="page" w:x="1526" w:y="1937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Group, in accordance with Rule 240.13d-1(b)(1)(ii)(K).</w:t>
      </w:r>
    </w:p>
    <w:p>
      <w:pPr>
        <w:pStyle w:val="Normal"/>
        <w:framePr w:w="4348" w:hAnchor="page" w:vAnchor="page" w:x="1286" w:y="1906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       please specify the type of institution:</w:t>
      </w:r>
    </w:p>
    <w:p>
      <w:pPr>
        <w:pStyle w:val="Normal"/>
        <w:framePr w:w="479" w:hAnchor="page" w:vAnchor="page" w:x="668" w:y="1880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(j)</w:t>
      </w:r>
    </w:p>
    <w:p>
      <w:pPr>
        <w:pStyle w:val="Normal"/>
        <w:framePr w:w="5734" w:hAnchor="page" w:vAnchor="page" w:x="1286" w:y="1880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institution in accordance with § 240.13d-1(b)(1)(ii)(J), </w:t>
      </w:r>
    </w:p>
    <w:p>
      <w:pPr>
        <w:pStyle w:val="Normal"/>
        <w:framePr w:w="11511" w:hAnchor="page" w:vAnchor="page" w:x="1526" w:y="18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 non-U.S. institution in accordance with § 240.13d-1(b)(1)(ii)(J). If filing as a non-U.S.</w:t>
      </w:r>
    </w:p>
    <w:p>
      <w:pPr>
        <w:pStyle w:val="Normal"/>
        <w:framePr w:w="7727" w:hAnchor="page" w:vAnchor="page" w:x="1286" w:y="1823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section 3(c)(14) of the Investment Company Act of 1940 (15 U.S.C. 80a-3);</w:t>
      </w:r>
    </w:p>
    <w:p>
      <w:pPr>
        <w:pStyle w:val="Normal"/>
        <w:framePr w:w="466" w:hAnchor="page" w:vAnchor="page" w:x="673" w:y="1810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(i)</w:t>
      </w:r>
    </w:p>
    <w:p>
      <w:pPr>
        <w:pStyle w:val="Normal"/>
        <w:framePr w:w="11139" w:hAnchor="page" w:vAnchor="page" w:x="1526" w:y="179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 church plan that is excluded from the definition of an investment company under</w:t>
      </w:r>
    </w:p>
    <w:p>
      <w:pPr>
        <w:pStyle w:val="Normal"/>
        <w:framePr w:w="1965" w:hAnchor="page" w:vAnchor="page" w:x="1286" w:y="1766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(12 U.S.C. 1813);</w:t>
      </w:r>
    </w:p>
    <w:p>
      <w:pPr>
        <w:pStyle w:val="Normal"/>
        <w:framePr w:w="532" w:hAnchor="page" w:vAnchor="page" w:x="643" w:y="1753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(h)</w:t>
      </w:r>
    </w:p>
    <w:p>
      <w:pPr>
        <w:pStyle w:val="Normal"/>
        <w:framePr w:w="11319" w:hAnchor="page" w:vAnchor="page" w:x="1526" w:y="1741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 savings associations as defined in Section 3(b) of the Federal Deposit Insurance Act</w:t>
      </w:r>
    </w:p>
    <w:p>
      <w:pPr>
        <w:pStyle w:val="Normal"/>
        <w:framePr w:w="519" w:hAnchor="page" w:vAnchor="page" w:x="650" w:y="1709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(g)</w:t>
      </w:r>
    </w:p>
    <w:p>
      <w:pPr>
        <w:pStyle w:val="Normal"/>
        <w:framePr w:w="11297" w:hAnchor="page" w:vAnchor="page" w:x="1526" w:y="1709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checked   A parent holding company or control person in accordance with § 240.13d-1(b)(1)(ii)(G);</w:t>
      </w:r>
    </w:p>
    <w:p>
      <w:pPr>
        <w:pStyle w:val="Normal"/>
        <w:framePr w:w="625" w:hAnchor="page" w:vAnchor="page" w:x="1286" w:y="1678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(F);</w:t>
      </w:r>
    </w:p>
    <w:p>
      <w:pPr>
        <w:pStyle w:val="Normal"/>
        <w:framePr w:w="479" w:hAnchor="page" w:vAnchor="page" w:x="668" w:y="1664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(f)</w:t>
      </w:r>
    </w:p>
    <w:p>
      <w:pPr>
        <w:pStyle w:val="Normal"/>
        <w:framePr w:w="11378" w:hAnchor="page" w:vAnchor="page" w:x="1526" w:y="165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An employee benefit plan or endowment fund in accordance with § 240.13d-1(b)(1)(ii)</w:t>
      </w:r>
    </w:p>
    <w:p>
      <w:pPr>
        <w:pStyle w:val="Normal"/>
        <w:framePr w:w="506" w:hAnchor="page" w:vAnchor="page" w:x="656" w:y="1621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(e)</w:t>
      </w:r>
    </w:p>
    <w:p>
      <w:pPr>
        <w:pStyle w:val="Normal"/>
        <w:framePr w:w="9411" w:hAnchor="page" w:vAnchor="page" w:x="1526" w:y="1621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An investment adviser in accordance with § 240.13d-1(b)(1)(ii)(E);</w:t>
      </w:r>
    </w:p>
    <w:p>
      <w:pPr>
        <w:pStyle w:val="Normal"/>
        <w:framePr w:w="2044" w:hAnchor="page" w:vAnchor="page" w:x="1286" w:y="1589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(15 U.S.C. 80a-8);</w:t>
      </w:r>
    </w:p>
    <w:p>
      <w:pPr>
        <w:pStyle w:val="Normal"/>
        <w:framePr w:w="532" w:hAnchor="page" w:vAnchor="page" w:x="643" w:y="1576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(d)</w:t>
      </w:r>
    </w:p>
    <w:p>
      <w:pPr>
        <w:pStyle w:val="Normal"/>
        <w:framePr w:w="11580" w:hAnchor="page" w:vAnchor="page" w:x="1526" w:y="1564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Investment company registered under section 8 of the Investment Company Act of 1940</w:t>
      </w:r>
    </w:p>
    <w:p>
      <w:pPr>
        <w:pStyle w:val="Normal"/>
        <w:framePr w:w="506" w:hAnchor="page" w:vAnchor="page" w:x="656" w:y="1532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(c)</w:t>
      </w:r>
    </w:p>
    <w:p>
      <w:pPr>
        <w:pStyle w:val="Normal"/>
        <w:framePr w:w="10355" w:hAnchor="page" w:vAnchor="page" w:x="1526" w:y="1532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Insurance company as defined in section 3(a)(19) of the Act (15 U.S.C. 78c);</w:t>
      </w:r>
    </w:p>
    <w:p>
      <w:pPr>
        <w:pStyle w:val="Normal"/>
        <w:framePr w:w="532" w:hAnchor="page" w:vAnchor="page" w:x="643" w:y="1501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8777" w:hAnchor="page" w:vAnchor="page" w:x="1526" w:y="1501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Bank as defined in section 3(a)(6) of the Act (15 U.S.C. 78c);</w:t>
      </w:r>
    </w:p>
    <w:p>
      <w:pPr>
        <w:pStyle w:val="Normal"/>
        <w:framePr w:w="519" w:hAnchor="page" w:vAnchor="page" w:x="650" w:y="146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9905" w:hAnchor="page" w:vAnchor="page" w:x="1526" w:y="146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Broker or dealer registered under section 15 of the Act (15 U.S.C. 78o);</w:t>
      </w:r>
    </w:p>
    <w:p>
      <w:pPr>
        <w:pStyle w:val="Normal"/>
        <w:framePr w:w="12408" w:hAnchor="page" w:vAnchor="page" w:x="452" w:y="143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3.   If this statement is filed pursuant to §§ 240.13d-1(b) or 240.13d-2(b) or (c), check whether the person filing is a:</w:t>
      </w:r>
    </w:p>
    <w:p>
      <w:pPr>
        <w:pStyle w:val="Normal"/>
        <w:framePr w:w="1355" w:hAnchor="page" w:vAnchor="page" w:x="1286" w:y="1406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G87110105</w:t>
      </w:r>
    </w:p>
    <w:p>
      <w:pPr>
        <w:pStyle w:val="Normal"/>
        <w:framePr w:w="506" w:hAnchor="page" w:vAnchor="page" w:x="656" w:y="138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(e)</w:t>
      </w:r>
    </w:p>
    <w:p>
      <w:pPr>
        <w:pStyle w:val="Normal"/>
        <w:framePr w:w="1503" w:hAnchor="page" w:vAnchor="page" w:x="1286" w:y="1355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CUSIP No.: </w:t>
      </w:r>
    </w:p>
    <w:p>
      <w:pPr>
        <w:pStyle w:val="Normal"/>
        <w:framePr w:w="1727" w:hAnchor="page" w:vAnchor="page" w:x="1286" w:y="132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 Stock</w:t>
      </w:r>
    </w:p>
    <w:p>
      <w:pPr>
        <w:pStyle w:val="Normal"/>
        <w:framePr w:w="532" w:hAnchor="page" w:vAnchor="page" w:x="643" w:y="129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(d)</w:t>
      </w:r>
    </w:p>
    <w:p>
      <w:pPr>
        <w:pStyle w:val="Normal"/>
        <w:framePr w:w="2911" w:hAnchor="page" w:vAnchor="page" w:x="1286" w:y="1272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Title of class of securities: </w:t>
      </w:r>
    </w:p>
    <w:p>
      <w:pPr>
        <w:pStyle w:val="Normal"/>
        <w:framePr w:w="2677" w:hAnchor="page" w:vAnchor="page" w:x="1286" w:y="1241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See Item 4 of Cover Page</w:t>
      </w:r>
    </w:p>
    <w:p>
      <w:pPr>
        <w:pStyle w:val="Normal"/>
        <w:framePr w:w="506" w:hAnchor="page" w:vAnchor="page" w:x="656" w:y="1215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(c)</w:t>
      </w:r>
    </w:p>
    <w:p>
      <w:pPr>
        <w:pStyle w:val="Normal"/>
        <w:framePr w:w="1529" w:hAnchor="page" w:vAnchor="page" w:x="1286" w:y="1190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Citizenship: </w:t>
      </w:r>
    </w:p>
    <w:p>
      <w:pPr>
        <w:pStyle w:val="Normal"/>
        <w:framePr w:w="5686" w:hAnchor="page" w:vAnchor="page" w:x="1286" w:y="1158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BlackRock, Inc., 50 Hudson Yards New York, NY 10001</w:t>
      </w:r>
    </w:p>
    <w:p>
      <w:pPr>
        <w:pStyle w:val="Normal"/>
        <w:framePr w:w="532" w:hAnchor="page" w:vAnchor="page" w:x="643" w:y="1133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6133" w:hAnchor="page" w:vAnchor="page" w:x="1286" w:y="1107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Address or principal business office or, if none, residence: </w:t>
      </w:r>
    </w:p>
    <w:p>
      <w:pPr>
        <w:pStyle w:val="Normal"/>
        <w:framePr w:w="3066" w:hAnchor="page" w:vAnchor="page" w:x="1286" w:y="1076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accordance with such release.</w:t>
      </w:r>
    </w:p>
    <w:p>
      <w:pPr>
        <w:pStyle w:val="Normal"/>
        <w:framePr w:w="11957" w:hAnchor="page" w:vAnchor="page" w:x="1286" w:y="1050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business units whose beneficial ownership of securities are disaggregated from that of the Reporting Business Units in </w:t>
      </w:r>
    </w:p>
    <w:p>
      <w:pPr>
        <w:pStyle w:val="Normal"/>
        <w:framePr w:w="11957" w:hAnchor="page" w:vAnchor="page" w:x="1286" w:y="1025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BlackRock,  Inc.  and  its  subsidiaries  and  affiliates.  It  does  not  include  securities,  if  any,  beneficially  owned  by  other </w:t>
      </w:r>
    </w:p>
    <w:p>
      <w:pPr>
        <w:pStyle w:val="Normal"/>
        <w:framePr w:w="11957" w:hAnchor="page" w:vAnchor="page" w:x="1286" w:y="999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owned, or deemed to be beneficially owned, by certain business units (collectively, the "Reporting Business Units") of </w:t>
      </w:r>
    </w:p>
    <w:p>
      <w:pPr>
        <w:pStyle w:val="Normal"/>
        <w:framePr w:w="519" w:hAnchor="page" w:vAnchor="page" w:x="650" w:y="974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11952" w:hAnchor="page" w:vAnchor="page" w:x="1286" w:y="974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In accordance with SEC Release No. 34-39538 (January 12, 1998), this Schedule 13G reflects the securities beneficially </w:t>
      </w:r>
    </w:p>
    <w:p>
      <w:pPr>
        <w:pStyle w:val="Normal"/>
        <w:framePr w:w="1839" w:hAnchor="page" w:vAnchor="page" w:x="1286" w:y="92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BlackRock, Inc. </w:t>
      </w:r>
    </w:p>
    <w:p>
      <w:pPr>
        <w:pStyle w:val="Normal"/>
        <w:framePr w:w="2565" w:hAnchor="page" w:vAnchor="page" w:x="1286" w:y="87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 of person filing: </w:t>
      </w:r>
    </w:p>
    <w:p>
      <w:pPr>
        <w:pStyle w:val="Normal"/>
        <w:framePr w:w="955" w:hAnchor="page" w:vAnchor="page" w:x="452" w:y="840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2.</w:t>
      </w:r>
    </w:p>
    <w:p>
      <w:pPr>
        <w:pStyle w:val="Normal"/>
        <w:framePr w:w="10830" w:hAnchor="page" w:vAnchor="page" w:x="1286" w:y="808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HADRIAN HOUSE, WINCOMBLEE ROAD, NEWCASTLE UPON TYNE, UNITED KINGDOM, NE6 3PL</w:t>
      </w:r>
    </w:p>
    <w:p>
      <w:pPr>
        <w:pStyle w:val="Normal"/>
        <w:framePr w:w="532" w:hAnchor="page" w:vAnchor="page" w:x="643" w:y="783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4964" w:hAnchor="page" w:vAnchor="page" w:x="1286" w:y="757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Address of issuer's principal executive offices: </w:t>
      </w:r>
    </w:p>
    <w:p>
      <w:pPr>
        <w:pStyle w:val="Normal"/>
        <w:framePr w:w="1856" w:hAnchor="page" w:vAnchor="page" w:x="1286" w:y="726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TechnipFMC plc</w:t>
      </w:r>
    </w:p>
    <w:p>
      <w:pPr>
        <w:pStyle w:val="Normal"/>
        <w:framePr w:w="519" w:hAnchor="page" w:vAnchor="page" w:x="650" w:y="700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1885" w:hAnchor="page" w:vAnchor="page" w:x="1286" w:y="67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 of issuer: </w:t>
      </w:r>
    </w:p>
    <w:p>
      <w:pPr>
        <w:pStyle w:val="Normal"/>
        <w:framePr w:w="955" w:hAnchor="page" w:vAnchor="page" w:x="452" w:y="643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1.</w:t>
      </w:r>
    </w:p>
    <w:p>
      <w:pPr>
        <w:pStyle w:val="Normal"/>
        <w:framePr w:w="2599" w:hAnchor="page" w:vAnchor="page" w:x="332" w:y="5773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1021" w:hAnchor="page" w:vAnchor="page" w:x="1526" w:y="462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HC, HC</w:t>
      </w:r>
    </w:p>
    <w:p>
      <w:pPr>
        <w:pStyle w:val="Normal"/>
        <w:framePr w:w="480" w:hAnchor="page" w:vAnchor="page" w:x="787" w:y="436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12</w:t>
      </w:r>
    </w:p>
    <w:p>
      <w:pPr>
        <w:pStyle w:val="Normal"/>
        <w:framePr w:w="4753" w:hAnchor="page" w:vAnchor="page" w:x="1526" w:y="411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Type of Reporting Person (See Instructions) </w:t>
      </w:r>
    </w:p>
    <w:p>
      <w:pPr>
        <w:pStyle w:val="Normal"/>
        <w:framePr w:w="797" w:hAnchor="page" w:vAnchor="page" w:x="1526" w:y="378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4.6 %</w:t>
      </w:r>
    </w:p>
    <w:p>
      <w:pPr>
        <w:pStyle w:val="Normal"/>
        <w:framePr w:w="467" w:hAnchor="page" w:vAnchor="page" w:x="794" w:y="352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11</w:t>
      </w:r>
    </w:p>
    <w:p>
      <w:pPr>
        <w:pStyle w:val="Normal"/>
        <w:framePr w:w="5313" w:hAnchor="page" w:vAnchor="page" w:x="1526" w:y="327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Percent of class represented by amount in row (9) </w:t>
      </w:r>
    </w:p>
    <w:p>
      <w:pPr>
        <w:pStyle w:val="Normal"/>
        <w:framePr w:w="2526" w:hAnchor="page" w:vAnchor="page" w:x="1766" w:y="294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</w:t>
      </w:r>
    </w:p>
    <w:p>
      <w:pPr>
        <w:pStyle w:val="Normal"/>
        <w:framePr w:w="480" w:hAnchor="page" w:vAnchor="page" w:x="787" w:y="268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10</w:t>
      </w:r>
    </w:p>
    <w:p>
      <w:pPr>
        <w:pStyle w:val="Normal"/>
        <w:framePr w:w="9127" w:hAnchor="page" w:vAnchor="page" w:x="1526" w:y="2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Check box if the aggregate amount in row (9) excludes certain shares (See Instructions) </w:t>
      </w:r>
    </w:p>
    <w:p>
      <w:pPr>
        <w:pStyle w:val="Normal"/>
        <w:framePr w:w="1609" w:hAnchor="page" w:vAnchor="page" w:x="1526" w:y="20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19,453,509.00</w:t>
      </w:r>
    </w:p>
    <w:p>
      <w:pPr>
        <w:pStyle w:val="Normal"/>
        <w:framePr w:w="361" w:hAnchor="page" w:vAnchor="page" w:x="842" w:y="18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9</w:t>
      </w:r>
    </w:p>
    <w:p>
      <w:pPr>
        <w:pStyle w:val="Normal"/>
        <w:framePr w:w="6997" w:hAnchor="page" w:vAnchor="page" w:x="1526" w:y="158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Aggregate Amount Beneficially Owned by Each Reporting Person </w:t>
      </w:r>
    </w:p>
    <w:p>
      <w:pPr>
        <w:pStyle w:val="Normal"/>
        <w:framePr w:w="726" w:hAnchor="page" w:vAnchor="page" w:x="1856" w:y="119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0.00</w:t>
      </w:r>
    </w:p>
    <w:p>
      <w:pPr>
        <w:pStyle w:val="Normal"/>
        <w:framePr w:w="396" w:hAnchor="page" w:vAnchor="page" w:x="1609" w:y="78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8</w:t>
      </w:r>
    </w:p>
    <w:p>
      <w:pPr>
        <w:pStyle w:val="Normal"/>
        <w:framePr w:w="1044" w:hAnchor="page" w:vAnchor="page" w:x="1856" w:y="65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Power </w:t>
      </w:r>
    </w:p>
    <w:p>
      <w:pPr>
        <w:pStyle w:val="Normal"/>
        <w:framePr w:w="2366" w:hAnchor="page" w:vAnchor="page" w:x="1856" w:y="3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Shared Dispositive</w:t>
      </w:r>
    </w:p>
    <w:p>
      <w:pPr>
        <w:pStyle w:val="Normal"/>
        <w:framePr w:w="1783" w:hAnchor="page" w:vAnchor="page" w:x="1856" w:y="3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19,453,509.00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7pt;margin-top:1pt;z-index:-167769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3.4pt;margin-top:1pt;z-index:-16776928;width:585.25pt;height:247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5.25pt;margin-top:75.3pt;z-index:-1677692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71.55pt;margin-top:1pt;z-index:-16776920;width:2.75pt;height:7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5.25pt;margin-top:1pt;z-index:-16776916;width:2.75pt;height:7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73.8pt;margin-top:75.3pt;z-index:-16776912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594pt;margin-top:1pt;z-index:-16776908;width:2.75pt;height:7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73.8pt;margin-top:1pt;z-index:-16776904;width:2.75pt;height:7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76.8pt;margin-top:15.25pt;z-index:-16776900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88.05pt;margin-top:1pt;z-index:-1677689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90.3pt;margin-top:15.25pt;z-index:-16776892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90.3pt;margin-top:1pt;z-index:-1677688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91.8pt;margin-top:1pt;z-index:-16776884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88.05pt;margin-top:17.5pt;z-index:-16776880;width:2.75pt;height:57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90.3pt;margin-top:17.5pt;z-index:-16776876;width:2.75pt;height:57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91.8pt;margin-top:58.8pt;z-index:-16776872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15.25pt;margin-top:117.35pt;z-index:-1677686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71.55pt;margin-top:77.55pt;z-index:-167768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15.25pt;margin-top:77.55pt;z-index:-167768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73.8pt;margin-top:117.35pt;z-index:-1677685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594pt;margin-top:77.55pt;z-index:-167768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73.8pt;margin-top:77.55pt;z-index:-167768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75.3pt;margin-top:103.85pt;z-index:-16776844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15.25pt;margin-top:159.4pt;z-index:-1677684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71.55pt;margin-top:119.6pt;z-index:-167768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15.25pt;margin-top:119.6pt;z-index:-1677683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73.8pt;margin-top:159.4pt;z-index:-16776828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94pt;margin-top:119.6pt;z-index:-167768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73.8pt;margin-top:119.6pt;z-index:-1677682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15.25pt;margin-top:201.4pt;z-index:-1677681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71.55pt;margin-top:161.65pt;z-index:-167768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15.25pt;margin-top:161.65pt;z-index:-1677680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73.8pt;margin-top:201.4pt;z-index:-16776804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94pt;margin-top:161.65pt;z-index:-167768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3.8pt;margin-top:161.65pt;z-index:-1677679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75.3pt;margin-top:187.9pt;z-index:-16776792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243.45pt;z-index:-1677678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1.55pt;margin-top:203.65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5.25pt;margin-top:203.65pt;z-index:-1677678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73.8pt;margin-top:243.45pt;z-index:-1677677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594pt;margin-top:203.65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73.8pt;margin-top:203.65pt;z-index:-1677676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75.3pt;margin-top:229.95pt;z-index:-16776764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63.3pt;margin-top:362.05pt;z-index:-16776760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63.3pt;margin-top:403.35pt;z-index:-16776756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63.3pt;margin-top:460.4pt;z-index:-16776752;width:531.95pt;height:91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63.3pt;margin-top:578.25pt;z-index:-16776748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63.3pt;margin-top:619.5pt;z-index:-1677674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63.3pt;margin-top:660.8pt;z-index:-16776740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63.3pt;margin-top:702.1pt;z-index:-16776736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76.3pt;margin-top:146.85pt;z-index:-1677673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64.3pt;margin-top:734.6pt;z-index:-1677672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64.3pt;margin-top:750.4pt;z-index:-1677672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64.3pt;margin-top:766.15pt;z-index:-1677672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64.3pt;margin-top:781.9pt;z-index:-1677671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64.3pt;margin-top:810.45pt;z-index:-1677671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64.3pt;margin-top:826.2pt;z-index:-1677670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64.3pt;margin-top:854.7pt;z-index:-167767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64.3pt;margin-top:870.5pt;z-index:-167767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64.3pt;margin-top:899pt;z-index:-1677669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64.3pt;margin-top:927.55pt;z-index:-1677669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64.3pt;margin-top:968.8pt;z-index:-167766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</w:p>
    <w:p>
      <w:pPr>
        <w:pStyle w:val="Normal"/>
        <w:framePr w:w="2355" w:hAnchor="page" w:vAnchor="page" w:x="686" w:y="1946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Exhibit Information </w:t>
      </w:r>
    </w:p>
    <w:p>
      <w:pPr>
        <w:pStyle w:val="Normal"/>
        <w:framePr w:w="796" w:hAnchor="page" w:vAnchor="page" w:x="3988" w:y="1903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Date:</w:t>
      </w:r>
    </w:p>
    <w:p>
      <w:pPr>
        <w:pStyle w:val="Normal"/>
        <w:framePr w:w="1325" w:hAnchor="page" w:vAnchor="page" w:x="5369" w:y="1903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04/25/2025</w:t>
      </w:r>
    </w:p>
    <w:p>
      <w:pPr>
        <w:pStyle w:val="Normal"/>
        <w:framePr w:w="1452" w:hAnchor="page" w:vAnchor="page" w:x="3988" w:y="1862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Name/Title:</w:t>
      </w:r>
    </w:p>
    <w:p>
      <w:pPr>
        <w:pStyle w:val="Normal"/>
        <w:framePr w:w="2185" w:hAnchor="page" w:vAnchor="page" w:x="5369" w:y="1862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Managing Director</w:t>
      </w:r>
    </w:p>
    <w:p>
      <w:pPr>
        <w:pStyle w:val="Normal"/>
        <w:framePr w:w="1307" w:hAnchor="page" w:vAnchor="page" w:x="3988" w:y="182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Signature:</w:t>
      </w:r>
    </w:p>
    <w:p>
      <w:pPr>
        <w:pStyle w:val="Normal"/>
        <w:framePr w:w="1952" w:hAnchor="page" w:vAnchor="page" w:x="5369" w:y="182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Spencer Fleming</w:t>
      </w:r>
    </w:p>
    <w:p>
      <w:pPr>
        <w:pStyle w:val="Normal"/>
        <w:framePr w:w="2766" w:hAnchor="page" w:vAnchor="page" w:x="2697" w:y="17605"/>
        <w:widowControl w:val="off"/>
        <w:autoSpaceDE w:val="off"/>
        <w:autoSpaceDN w:val="off"/>
        <w:spacing w:before="0" w:after="0" w:line="37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34"/>
          <w:szCs w:val="3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34"/>
          <w:szCs w:val="34"/>
        </w:rPr>
        <w:t>BlackRock, Inc.</w:t>
      </w:r>
    </w:p>
    <w:p>
      <w:pPr>
        <w:pStyle w:val="Normal"/>
        <w:framePr w:w="4030" w:hAnchor="page" w:vAnchor="page" w:x="1871" w:y="1696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statement is true, complete and correct. </w:t>
      </w:r>
    </w:p>
    <w:p>
      <w:pPr>
        <w:pStyle w:val="Normal"/>
        <w:framePr w:w="11276" w:hAnchor="page" w:vAnchor="page" w:x="1871" w:y="1670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After reasonable inquiry and to the best of my knowledge and belief, I certify that the information set forth in this</w:t>
      </w:r>
    </w:p>
    <w:p>
      <w:pPr>
        <w:pStyle w:val="Normal"/>
        <w:framePr w:w="1875" w:hAnchor="page" w:vAnchor="page" w:x="326" w:y="1639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    SIGNATURE</w:t>
      </w:r>
    </w:p>
    <w:p>
      <w:pPr>
        <w:pStyle w:val="Normal"/>
        <w:framePr w:w="3348" w:hAnchor="page" w:vAnchor="page" w:x="1286" w:y="1552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nomination under § 240.14a-11. </w:t>
      </w:r>
    </w:p>
    <w:p>
      <w:pPr>
        <w:pStyle w:val="Normal"/>
        <w:framePr w:w="11991" w:hAnchor="page" w:vAnchor="page" w:x="1286" w:y="1526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with or as a participant in any transaction having that purpose or effect, other than activities solely in connection with a </w:t>
      </w:r>
    </w:p>
    <w:p>
      <w:pPr>
        <w:pStyle w:val="Normal"/>
        <w:framePr w:w="11979" w:hAnchor="page" w:vAnchor="page" w:x="1286" w:y="1501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changing or influencing the control of the issuer of the securities and were not acquired and are not held in connection </w:t>
      </w:r>
    </w:p>
    <w:p>
      <w:pPr>
        <w:pStyle w:val="Normal"/>
        <w:framePr w:w="11981" w:hAnchor="page" w:vAnchor="page" w:x="1286" w:y="1475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are held in the ordinary course of business and were not acquired and are not held for the purpose of or with the effect of </w:t>
      </w:r>
    </w:p>
    <w:p>
      <w:pPr>
        <w:pStyle w:val="Normal"/>
        <w:framePr w:w="11982" w:hAnchor="page" w:vAnchor="page" w:x="1286" w:y="1450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By signing below I certify that, to the best of my knowledge and belief, the securities referred to above were acquired and </w:t>
      </w:r>
    </w:p>
    <w:p>
      <w:pPr>
        <w:pStyle w:val="Normal"/>
        <w:framePr w:w="2684" w:hAnchor="page" w:vAnchor="page" w:x="398" w:y="141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10.  Certifications:</w:t>
      </w:r>
    </w:p>
    <w:p>
      <w:pPr>
        <w:pStyle w:val="Normal"/>
        <w:framePr w:w="1701" w:hAnchor="page" w:vAnchor="page" w:x="1286" w:y="1356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Not Applicable</w:t>
      </w:r>
    </w:p>
    <w:p>
      <w:pPr>
        <w:pStyle w:val="Normal"/>
        <w:framePr w:w="4304" w:hAnchor="page" w:vAnchor="page" w:x="452" w:y="1325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9.   Notice of Dissolution of Group.</w:t>
      </w:r>
    </w:p>
    <w:p>
      <w:pPr>
        <w:pStyle w:val="Normal"/>
        <w:framePr w:w="1701" w:hAnchor="page" w:vAnchor="page" w:x="1286" w:y="1293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Not Applicable</w:t>
      </w:r>
    </w:p>
    <w:p>
      <w:pPr>
        <w:pStyle w:val="Normal"/>
        <w:framePr w:w="7110" w:hAnchor="page" w:vAnchor="page" w:x="452" w:y="126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8.   Identification and Classification of Members of the Group.</w:t>
      </w:r>
    </w:p>
    <w:p>
      <w:pPr>
        <w:pStyle w:val="Normal"/>
        <w:framePr w:w="1641" w:hAnchor="page" w:vAnchor="page" w:x="1286" w:y="1230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See Exhibit 99</w:t>
      </w:r>
    </w:p>
    <w:p>
      <w:pPr>
        <w:pStyle w:val="Normal"/>
        <w:framePr w:w="2088" w:hAnchor="page" w:vAnchor="page" w:x="1286" w:y="1154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relevant subsidiary.</w:t>
      </w:r>
    </w:p>
    <w:p>
      <w:pPr>
        <w:pStyle w:val="Normal"/>
        <w:framePr w:w="11888" w:hAnchor="page" w:vAnchor="page" w:x="1286" w:y="1128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has  filed  this  schedule  pursuant  to  Rule  13d-1(c)  or  Rule  13d-1(d),  attach  an  exhibit  stating  the  identification  of  the</w:t>
      </w:r>
    </w:p>
    <w:p>
      <w:pPr>
        <w:pStyle w:val="Normal"/>
        <w:framePr w:w="11891" w:hAnchor="page" w:vAnchor="page" w:x="1286" w:y="1103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attach an exhibit stating the identity and the Item 3 classification of the relevant subsidiary. If a parent holding company</w:t>
      </w:r>
    </w:p>
    <w:p>
      <w:pPr>
        <w:pStyle w:val="Normal"/>
        <w:framePr w:w="11890" w:hAnchor="page" w:vAnchor="page" w:x="1286" w:y="1077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If a parent holding company has filed this schedule, pursuant to Rule 13d-1(b)(ii)(G), so indicate under Item 3(g) and</w:t>
      </w:r>
    </w:p>
    <w:p>
      <w:pPr>
        <w:pStyle w:val="Normal"/>
        <w:framePr w:w="4060" w:hAnchor="page" w:vAnchor="page" w:x="1286" w:y="1046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Holding Company or Control Person.</w:t>
      </w:r>
    </w:p>
    <w:p>
      <w:pPr>
        <w:pStyle w:val="Normal"/>
        <w:framePr w:w="955" w:hAnchor="page" w:vAnchor="page" w:x="452" w:y="103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7.</w:t>
      </w:r>
    </w:p>
    <w:p>
      <w:pPr>
        <w:pStyle w:val="Normal"/>
        <w:framePr w:w="11687" w:hAnchor="page" w:vAnchor="page" w:x="1286" w:y="1020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Identification and Classification of the Subsidiary Which Acquired the Security Being Reported on by the Parent</w:t>
      </w:r>
    </w:p>
    <w:p>
      <w:pPr>
        <w:pStyle w:val="Normal"/>
        <w:framePr w:w="5700" w:hAnchor="page" w:vAnchor="page" w:x="1286" w:y="989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than five percent of the total outstanding common shares.</w:t>
      </w:r>
    </w:p>
    <w:p>
      <w:pPr>
        <w:pStyle w:val="Normal"/>
        <w:framePr w:w="11950" w:hAnchor="page" w:vAnchor="page" w:x="1286" w:y="963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sale of the common stock of TechnipFMC plc. No one person's interest in the common stock of TechnipFMC plc is more </w:t>
      </w:r>
    </w:p>
    <w:p>
      <w:pPr>
        <w:pStyle w:val="Normal"/>
        <w:framePr w:w="11946" w:hAnchor="page" w:vAnchor="page" w:x="1286" w:y="93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Various persons have the right to receive or the power to direct the receipt of dividends from, or the proceeds from the </w:t>
      </w:r>
    </w:p>
    <w:p>
      <w:pPr>
        <w:pStyle w:val="Normal"/>
        <w:framePr w:w="4888" w:hAnchor="page" w:vAnchor="page" w:x="1286" w:y="861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pension fund or endowment fund is not required.</w:t>
      </w:r>
    </w:p>
    <w:p>
      <w:pPr>
        <w:pStyle w:val="Normal"/>
        <w:framePr w:w="11890" w:hAnchor="page" w:vAnchor="page" w:x="1286" w:y="836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investment company registered under the Investment Company Act of 1940 or the beneficiaries of employee benefit plan,</w:t>
      </w:r>
    </w:p>
    <w:p>
      <w:pPr>
        <w:pStyle w:val="Normal"/>
        <w:framePr w:w="11890" w:hAnchor="page" w:vAnchor="page" w:x="1286" w:y="810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interest relates to more than 5 percent of the class, such person should be identified. A listing of the shareholders of an</w:t>
      </w:r>
    </w:p>
    <w:p>
      <w:pPr>
        <w:pStyle w:val="Normal"/>
        <w:framePr w:w="11886" w:hAnchor="page" w:vAnchor="page" w:x="1286" w:y="784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proceeds from the sale of, such securities, a statement to that effect should be included in response to this item and, if such</w:t>
      </w:r>
    </w:p>
    <w:p>
      <w:pPr>
        <w:pStyle w:val="Normal"/>
        <w:framePr w:w="11900" w:hAnchor="page" w:vAnchor="page" w:x="1286" w:y="75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If any other person is known to have the right to receive or the power to direct the receipt of dividends from, or the</w:t>
      </w:r>
    </w:p>
    <w:p>
      <w:pPr>
        <w:pStyle w:val="Normal"/>
        <w:framePr w:w="7666" w:hAnchor="page" w:vAnchor="page" w:x="452" w:y="727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6.   Ownership of more than 5 Percent on Behalf of Another Person.</w:t>
      </w:r>
    </w:p>
    <w:p>
      <w:pPr>
        <w:pStyle w:val="Normal"/>
        <w:framePr w:w="6135" w:hAnchor="page" w:vAnchor="page" w:x="1526" w:y="696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Checkbox checked    Ownership of 5 percent or less of a class</w:t>
      </w:r>
    </w:p>
    <w:p>
      <w:pPr>
        <w:pStyle w:val="Normal"/>
        <w:framePr w:w="5439" w:hAnchor="page" w:vAnchor="page" w:x="452" w:y="664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5.   Ownership of 5 Percent or Less of a Class.</w:t>
      </w:r>
    </w:p>
    <w:p>
      <w:pPr>
        <w:pStyle w:val="Normal"/>
        <w:framePr w:w="361" w:hAnchor="page" w:vAnchor="page" w:x="1286" w:y="607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</w:t>
      </w:r>
    </w:p>
    <w:p>
      <w:pPr>
        <w:pStyle w:val="Normal"/>
        <w:framePr w:w="6234" w:hAnchor="page" w:vAnchor="page" w:x="1286" w:y="556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(iv) Shared power to dispose or to direct the disposition of: </w:t>
      </w:r>
    </w:p>
    <w:p>
      <w:pPr>
        <w:pStyle w:val="Normal"/>
        <w:framePr w:w="1371" w:hAnchor="page" w:vAnchor="page" w:x="1286" w:y="499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19,453,509 </w:t>
      </w:r>
    </w:p>
    <w:p>
      <w:pPr>
        <w:pStyle w:val="Normal"/>
        <w:framePr w:w="5947" w:hAnchor="page" w:vAnchor="page" w:x="1286" w:y="44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(iii) Sole power to dispose or to direct the disposition of: </w:t>
      </w:r>
    </w:p>
    <w:p>
      <w:pPr>
        <w:pStyle w:val="Normal"/>
        <w:framePr w:w="361" w:hAnchor="page" w:vAnchor="page" w:x="1286" w:y="39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</w:t>
      </w:r>
    </w:p>
    <w:p>
      <w:pPr>
        <w:pStyle w:val="Normal"/>
        <w:framePr w:w="4932" w:hAnchor="page" w:vAnchor="page" w:x="1286" w:y="340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(ii) Shared power to vote or to direct the vote: </w:t>
      </w:r>
    </w:p>
    <w:p>
      <w:pPr>
        <w:pStyle w:val="Normal"/>
        <w:framePr w:w="1371" w:hAnchor="page" w:vAnchor="page" w:x="1286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17,343,477 </w:t>
      </w:r>
    </w:p>
    <w:p>
      <w:pPr>
        <w:pStyle w:val="Normal"/>
        <w:framePr w:w="4567" w:hAnchor="page" w:vAnchor="page" w:x="1286" w:y="232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(i) Sole power to vote or to direct the vote: </w:t>
      </w:r>
    </w:p>
    <w:p>
      <w:pPr>
        <w:pStyle w:val="Normal"/>
        <w:framePr w:w="506" w:hAnchor="page" w:vAnchor="page" w:x="656" w:y="20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(c)</w:t>
      </w:r>
    </w:p>
    <w:p>
      <w:pPr>
        <w:pStyle w:val="Normal"/>
        <w:framePr w:w="4905" w:hAnchor="page" w:vAnchor="page" w:x="1286" w:y="20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Number of shares as to which the person has: </w:t>
      </w:r>
    </w:p>
    <w:p>
      <w:pPr>
        <w:pStyle w:val="Normal"/>
        <w:framePr w:w="737" w:hAnchor="page" w:vAnchor="page" w:x="1286" w:y="16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4.6%</w:t>
      </w:r>
    </w:p>
    <w:p>
      <w:pPr>
        <w:pStyle w:val="Normal"/>
        <w:framePr w:w="532" w:hAnchor="page" w:vAnchor="page" w:x="643" w:y="14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1947" w:hAnchor="page" w:vAnchor="page" w:x="1286" w:y="11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Percent of class: </w:t>
      </w:r>
    </w:p>
    <w:p>
      <w:pPr>
        <w:pStyle w:val="Normal"/>
        <w:framePr w:w="1371" w:hAnchor="page" w:vAnchor="page" w:x="1286" w:y="86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19,453,509 </w:t>
      </w:r>
    </w:p>
    <w:p>
      <w:pPr>
        <w:pStyle w:val="Normal"/>
        <w:framePr w:w="519" w:hAnchor="page" w:vAnchor="page" w:x="650" w:y="61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3153" w:hAnchor="page" w:vAnchor="page" w:x="1286" w:y="35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Amount beneficially owned: </w:t>
      </w:r>
    </w:p>
    <w:p>
      <w:pPr>
        <w:pStyle w:val="Normal"/>
        <w:framePr w:w="2282" w:hAnchor="page" w:vAnchor="page" w:x="452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4.   Ownership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7pt;margin-top:1pt;z-index:-1677668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63.3pt;margin-top:42.3pt;z-index:-16776680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63.3pt;margin-top:83.55pt;z-index:-16776676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63.3pt;margin-top:140.6pt;z-index:-16776672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63.3pt;margin-top:194.65pt;z-index:-16776668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63.3pt;margin-top:248.7pt;z-index:-1677666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63.3pt;margin-top:302.75pt;z-index:-16776660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63.3pt;margin-top:347.05pt;z-index:-16776656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63.3pt;margin-top:378.55pt;z-index:-16776652;width:531.95pt;height:65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63.3pt;margin-top:467.9pt;z-index:-16776648;width:531.9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63.3pt;margin-top:537.7pt;z-index:-16776644;width:531.95pt;height:5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63.3pt;margin-top:614.25pt;z-index:-16776640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63.3pt;margin-top:645.8pt;z-index:-16776636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63.3pt;margin-top:677.3pt;z-index:-16776632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63.3pt;margin-top:723.85pt;z-index:-16776628;width:533.45pt;height:7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92.55pt;margin-top:834.2pt;z-index:-16776624;width:504.1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133.85pt;margin-top:879.25pt;z-index:-16776620;width:110.85pt;height:2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15.25pt;margin-top:972.3pt;z-index:-16776616;width:134.1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15.25pt;margin-top:1000.85pt;z-index:-16776612;width:134.1pt;height: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64.3pt;margin-top:348.05pt;z-index:-1677660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</w:p>
    <w:p>
      <w:pPr>
        <w:pStyle w:val="Normal"/>
        <w:framePr w:w="1978" w:hAnchor="page" w:vAnchor="page" w:x="32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Exhibit 99: Item 7</w:t>
      </w:r>
    </w:p>
    <w:p>
      <w:pPr>
        <w:pStyle w:val="Normal"/>
        <w:framePr w:w="3192" w:hAnchor="page" w:vAnchor="page" w:x="32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Exhibit 24: Power of Attorney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7pt;margin-top:1pt;z-index:-16776604;width:598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15.25pt;margin-top:1pt;z-index:-16776600;width:134.1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caef09bc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styles.xml" Type="http://schemas.openxmlformats.org/officeDocument/2006/relationships/styles"/><Relationship Id="rId156" Target="fontTable.xml" Type="http://schemas.openxmlformats.org/officeDocument/2006/relationships/fontTable"/><Relationship Id="rId157" Target="settings.xml" Type="http://schemas.openxmlformats.org/officeDocument/2006/relationships/settings"/><Relationship Id="rId158" Target="webSettings.xml" Type="http://schemas.openxmlformats.org/officeDocument/2006/relationships/webSettings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1073</Words>
  <Characters>5574</Characters>
  <Application>e-iceblue</Application>
  <DocSecurity>0</DocSecurity>
  <Lines>180</Lines>
  <Paragraphs>180</Paragraphs>
  <ScaleCrop>false</ScaleCrop>
  <Company>e-iceblue</Company>
  <LinksUpToDate>false</LinksUpToDate>
  <CharactersWithSpaces>6606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2025-04-25T22:42:32Z</dcterms:created>
  <dc:creator>root</dc:creator>
  <cp:lastModifiedBy>root</cp:lastModifiedBy>
  <dcterms:modified xsi:type="dcterms:W3CDTF">2025-04-25T22:42:32Z</dcterms:modified>
  <cp:revision>1</cp:revision>
</cp:coreProperties>
</file>