
<file path=[Content_Types].xml><?xml version="1.0" encoding="utf-8"?>
<Types xmlns="http://schemas.openxmlformats.org/package/2006/content-types">
  <Default ContentType="application/vnd.openxmlformats-officedocument.obfuscatedFont" Extension="odttf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
</file>

<file path=word/document.xml><?xml version="1.0" encoding="utf-8"?>
<w:document xmlns:w="http://schemas.openxmlformats.org/wordprocessingml/2006/main">
  <w:body>
    <w:p>
      <w:pPr>
        <w:pStyle w:val="Normal"/>
        <w:framePr w:x="0" w:y="10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Arial" w:hAnsi="Arial" w:fareast="Arial" w:cs="Arial"/>
          <w:color w:val="ff0000"/>
          <w:sz w:val="20"/>
          <w:szCs w:val="20"/>
        </w:rPr>
      </w:pPr>
      <w:r>
        <w:rPr>
          <w:rFonts w:ascii="Arial" w:hAnsi="Arial" w:fareast="Arial" w:cs="Arial"/>
          <w:color w:val="ff0000"/>
          <w:sz w:val="20"/>
          <w:szCs w:val="20"/>
        </w:rPr>
        <w:t xml:space="preserve"> </w:t>
      </w:r>
    </w:p>
    <w:p>
      <w:pPr>
        <w:pStyle w:val="Normal"/>
        <w:framePr w:w="2677" w:hAnchor="page" w:vAnchor="page" w:x="280" w:y="10145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(however, see the Notes).</w:t>
      </w:r>
    </w:p>
    <w:p>
      <w:pPr>
        <w:pStyle w:val="Normal"/>
        <w:framePr w:w="14249" w:hAnchor="page" w:vAnchor="page" w:x="280" w:y="9905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Exchange Act of 1934 (“Act”) or otherwise subject to the liabilities of that section of the Act but shall be subject to all other provisions of the Act</w:t>
      </w:r>
    </w:p>
    <w:p>
      <w:pPr>
        <w:pStyle w:val="Normal"/>
        <w:framePr w:w="13768" w:hAnchor="page" w:vAnchor="page" w:x="280" w:y="9665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The information required in the remainder of this cover page shall not be deemed to be “filed” for the purpose of Section 18 of the Securities</w:t>
      </w:r>
    </w:p>
    <w:p>
      <w:pPr>
        <w:pStyle w:val="Normal"/>
        <w:framePr w:w="13229" w:hAnchor="page" w:vAnchor="page" w:x="280" w:y="9184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securities, and for any subsequent amendment containing information which would alter the disclosures provided in a prior cover page.</w:t>
      </w:r>
    </w:p>
    <w:p>
      <w:pPr>
        <w:pStyle w:val="Normal"/>
        <w:framePr w:w="13429" w:hAnchor="page" w:vAnchor="page" w:x="280" w:y="8944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* The remainder of this cover page shall be filled out for a reporting person’s initial filing on this form with respect to the subject class of</w:t>
      </w:r>
    </w:p>
    <w:p>
      <w:pPr>
        <w:pStyle w:val="Normal"/>
        <w:framePr w:w="2107" w:hAnchor="page" w:vAnchor="page" w:x="280" w:y="8464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[ X ] Rule 13d-1(d)</w:t>
      </w:r>
    </w:p>
    <w:p>
      <w:pPr>
        <w:pStyle w:val="Normal"/>
        <w:framePr w:w="2040" w:hAnchor="page" w:vAnchor="page" w:x="280" w:y="8224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[    ] Rule 13d-1(c)</w:t>
      </w:r>
    </w:p>
    <w:p>
      <w:pPr>
        <w:pStyle w:val="Normal"/>
        <w:framePr w:w="2054" w:hAnchor="page" w:vAnchor="page" w:x="280" w:y="7983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[    ] Rule 13d-1(b)</w:t>
      </w:r>
    </w:p>
    <w:p>
      <w:pPr>
        <w:pStyle w:val="Normal"/>
        <w:framePr w:w="8695" w:hAnchor="page" w:vAnchor="page" w:x="280" w:y="7503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Check the appropriate box to designate the rule pursuant to which this Schedule is filed:</w:t>
      </w:r>
    </w:p>
    <w:p>
      <w:pPr>
        <w:pStyle w:val="Normal"/>
        <w:framePr w:w="5668" w:hAnchor="page" w:vAnchor="page" w:x="3858" w:y="7023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(Date of Event Which Requires Filing of this Statement)</w:t>
      </w:r>
    </w:p>
    <w:p>
      <w:pPr>
        <w:pStyle w:val="Normal"/>
        <w:framePr w:w="2180" w:hAnchor="page" w:vAnchor="page" w:x="5312" w:y="6782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December 31, 2022</w:t>
      </w:r>
    </w:p>
    <w:p>
      <w:pPr>
        <w:pStyle w:val="Normal"/>
        <w:framePr w:w="1927" w:hAnchor="page" w:vAnchor="page" w:x="5417" w:y="6302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(CUSIP Number)</w:t>
      </w:r>
    </w:p>
    <w:p>
      <w:pPr>
        <w:pStyle w:val="Normal"/>
        <w:framePr w:w="1374" w:hAnchor="page" w:vAnchor="page" w:x="5648" w:y="6062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87854Y109</w:t>
      </w:r>
    </w:p>
    <w:p>
      <w:pPr>
        <w:pStyle w:val="Normal"/>
        <w:framePr w:w="2952" w:hAnchor="page" w:vAnchor="page" w:x="4990" w:y="5581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(Title of Class of Securities)</w:t>
      </w:r>
    </w:p>
    <w:p>
      <w:pPr>
        <w:pStyle w:val="Normal"/>
        <w:framePr w:w="5154" w:hAnchor="page" w:vAnchor="page" w:x="4073" w:y="5341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Ordinary Shares, €0.01 nominal value per share</w:t>
      </w:r>
    </w:p>
    <w:p>
      <w:pPr>
        <w:pStyle w:val="Normal"/>
        <w:framePr w:w="1867" w:hAnchor="page" w:vAnchor="page" w:x="5442" w:y="4861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(Name of Issuer)</w:t>
      </w:r>
    </w:p>
    <w:p>
      <w:pPr>
        <w:pStyle w:val="Normal"/>
        <w:framePr w:w="3679" w:hAnchor="page" w:vAnchor="page" w:x="4608" w:y="4484"/>
        <w:widowControl w:val="off"/>
        <w:autoSpaceDE w:val="off"/>
        <w:autoSpaceDN w:val="off"/>
        <w:spacing w:before="0" w:after="0" w:line="355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32"/>
          <w:szCs w:val="32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32"/>
          <w:szCs w:val="32"/>
        </w:rPr>
        <w:t>Technip Energies N.V.</w:t>
      </w:r>
    </w:p>
    <w:p>
      <w:pPr>
        <w:pStyle w:val="Normal"/>
        <w:framePr w:w="2301" w:hAnchor="page" w:vAnchor="page" w:x="5261" w:y="4005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(Amendment No. 1)*</w:t>
      </w:r>
    </w:p>
    <w:p>
      <w:pPr>
        <w:pStyle w:val="Normal"/>
        <w:framePr w:w="6124" w:hAnchor="page" w:vAnchor="page" w:x="3668" w:y="3525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UNDER THE SECURITIES EXCHANGE ACT OF 1934</w:t>
      </w:r>
    </w:p>
    <w:p>
      <w:pPr>
        <w:pStyle w:val="Normal"/>
        <w:framePr w:w="2681" w:hAnchor="page" w:vAnchor="page" w:x="5103" w:y="3044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Pursuant to § 240.13d-2</w:t>
      </w:r>
    </w:p>
    <w:p>
      <w:pPr>
        <w:pStyle w:val="Normal"/>
        <w:framePr w:w="6472" w:hAnchor="page" w:vAnchor="page" w:x="3524" w:y="2804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to § 240.13d-1(b), (c) and (d) and Amendments Thereto Filed</w:t>
      </w:r>
    </w:p>
    <w:p>
      <w:pPr>
        <w:pStyle w:val="Normal"/>
        <w:framePr w:w="6063" w:hAnchor="page" w:vAnchor="page" w:x="3694" w:y="2564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Information to be Included in Statements Filed Pursuant</w:t>
      </w:r>
    </w:p>
    <w:p>
      <w:pPr>
        <w:pStyle w:val="Normal"/>
        <w:framePr w:w="1754" w:hAnchor="page" w:vAnchor="page" w:x="5489" w:y="2084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(Rule 13d-102)</w:t>
      </w:r>
    </w:p>
    <w:p>
      <w:pPr>
        <w:pStyle w:val="Normal"/>
        <w:framePr w:w="2114" w:hAnchor="page" w:vAnchor="page" w:x="5299" w:y="1517"/>
        <w:widowControl w:val="off"/>
        <w:autoSpaceDE w:val="off"/>
        <w:autoSpaceDN w:val="off"/>
        <w:spacing w:before="0" w:after="0" w:line="310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8"/>
          <w:szCs w:val="28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8"/>
          <w:szCs w:val="28"/>
        </w:rPr>
        <w:t>Schedule 13G</w:t>
      </w:r>
    </w:p>
    <w:p>
      <w:pPr>
        <w:pStyle w:val="Normal"/>
        <w:framePr w:w="2715" w:hAnchor="page" w:vAnchor="page" w:x="5089" w:y="1033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Washington, D.C. 20549</w:t>
      </w:r>
    </w:p>
    <w:p>
      <w:pPr>
        <w:pStyle w:val="Normal"/>
        <w:framePr w:w="4484" w:hAnchor="page" w:vAnchor="page" w:x="4202" w:y="757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Securities and Exchange Commission</w:t>
      </w:r>
    </w:p>
    <w:p>
      <w:pPr>
        <w:pStyle w:val="Normal"/>
        <w:framePr w:w="1768" w:hAnchor="page" w:vAnchor="page" w:x="5436" w:y="487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United States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  <w:sectPr>
          <w:pgSz w:w="12240" w:h="20160"/>
          <w:pgMar w:top="400" w:right="400" w:bottom="400" w:left="400" w:header="720" w:footer="720"/>
          <w:pgNumType w:start="1"/>
          <w:cols w:space="720" w:sep="off"/>
          <w:docGrid w:line-pitch="31680"/>
        </w:sect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0" style="position:absolute;margin-left:7pt;margin-top:1pt;z-index:-16777212;width:598pt;height:1005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" style="position:absolute;margin-left:13pt;margin-top:7pt;z-index:-16777208;width:586pt;height:13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" style="position:absolute;margin-left:13pt;margin-top:7pt;z-index:-16777204;width:586pt;height: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" style="position:absolute;margin-left:13pt;margin-top:17.5pt;z-index:-16777200;width:58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" style="position:absolute;margin-left:13pt;margin-top:534.7pt;z-index:-16777196;width:586pt;height:13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" style="position:absolute;margin-left:13pt;margin-top:534.7pt;z-index:-16777192;width:58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" style="position:absolute;margin-left:13pt;margin-top:542.95pt;z-index:-16777188;width:586pt;height: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" style="position:absolute;margin-left:13pt;margin-top:556.45pt;z-index:-16777184;width:586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" o:title=""/>
          </v:shape>
        </w:pict>
      </w:r>
    </w:p>
    <w:p>
      <w:pPr>
        <w:pStyle w:val="Normal"/>
        <w:framePr w:w="360" w:hAnchor="page" w:vAnchor="page" w:x="1631" w:y="12397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 xml:space="preserve">  </w:t>
      </w:r>
    </w:p>
    <w:p>
      <w:pPr>
        <w:pStyle w:val="Normal"/>
        <w:framePr w:w="600" w:hAnchor="page" w:vAnchor="page" w:x="2352" w:y="12157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CO</w:t>
      </w:r>
    </w:p>
    <w:p>
      <w:pPr>
        <w:pStyle w:val="Normal"/>
        <w:framePr w:w="480" w:hAnchor="page" w:vAnchor="page" w:x="1001" w:y="11677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12</w:t>
      </w:r>
    </w:p>
    <w:p>
      <w:pPr>
        <w:pStyle w:val="Normal"/>
        <w:framePr w:w="2711" w:hAnchor="page" w:vAnchor="page" w:x="1631" w:y="11677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Type of Reporting Person</w:t>
      </w:r>
    </w:p>
    <w:p>
      <w:pPr>
        <w:pStyle w:val="Normal"/>
        <w:framePr w:w="360" w:hAnchor="page" w:vAnchor="page" w:x="1631" w:y="11406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 xml:space="preserve">  </w:t>
      </w:r>
    </w:p>
    <w:p>
      <w:pPr>
        <w:pStyle w:val="Normal"/>
        <w:framePr w:w="600" w:hAnchor="page" w:vAnchor="page" w:x="2352" w:y="11166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0%</w:t>
      </w:r>
    </w:p>
    <w:p>
      <w:pPr>
        <w:pStyle w:val="Normal"/>
        <w:framePr w:w="471" w:hAnchor="page" w:vAnchor="page" w:x="1001" w:y="10686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11</w:t>
      </w:r>
    </w:p>
    <w:p>
      <w:pPr>
        <w:pStyle w:val="Normal"/>
        <w:framePr w:w="5135" w:hAnchor="page" w:vAnchor="page" w:x="1631" w:y="10686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Percent of Class Represented by Amount in Row 9</w:t>
      </w:r>
    </w:p>
    <w:p>
      <w:pPr>
        <w:pStyle w:val="Normal"/>
        <w:framePr w:w="360" w:hAnchor="page" w:vAnchor="page" w:x="1631" w:y="10416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 xml:space="preserve">  </w:t>
      </w:r>
    </w:p>
    <w:p>
      <w:pPr>
        <w:pStyle w:val="Normal"/>
        <w:framePr w:w="1781" w:hAnchor="page" w:vAnchor="page" w:x="2352" w:y="10175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Not Applicable</w:t>
      </w:r>
    </w:p>
    <w:p>
      <w:pPr>
        <w:pStyle w:val="Normal"/>
        <w:framePr w:w="480" w:hAnchor="page" w:vAnchor="page" w:x="1001" w:y="9695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10</w:t>
      </w:r>
    </w:p>
    <w:p>
      <w:pPr>
        <w:pStyle w:val="Normal"/>
        <w:framePr w:w="6828" w:hAnchor="page" w:vAnchor="page" w:x="1631" w:y="9695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Check if the Aggregate Amount in Row (9) Excludes Certain Shares</w:t>
      </w:r>
    </w:p>
    <w:p>
      <w:pPr>
        <w:pStyle w:val="Normal"/>
        <w:framePr w:w="360" w:hAnchor="page" w:vAnchor="page" w:x="1631" w:y="9425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 xml:space="preserve">  </w:t>
      </w:r>
    </w:p>
    <w:p>
      <w:pPr>
        <w:pStyle w:val="Normal"/>
        <w:framePr w:w="360" w:hAnchor="page" w:vAnchor="page" w:x="2352" w:y="9184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0</w:t>
      </w:r>
    </w:p>
    <w:p>
      <w:pPr>
        <w:pStyle w:val="Normal"/>
        <w:framePr w:w="360" w:hAnchor="page" w:vAnchor="page" w:x="1001" w:y="8704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9</w:t>
      </w:r>
    </w:p>
    <w:p>
      <w:pPr>
        <w:pStyle w:val="Normal"/>
        <w:framePr w:w="6648" w:hAnchor="page" w:vAnchor="page" w:x="1631" w:y="8704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Aggregate Amount Beneficially Owned by Each Reporting Person</w:t>
      </w:r>
    </w:p>
    <w:p>
      <w:pPr>
        <w:pStyle w:val="Normal"/>
        <w:framePr w:w="360" w:hAnchor="page" w:vAnchor="page" w:x="4439" w:y="8434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 xml:space="preserve">  </w:t>
      </w:r>
    </w:p>
    <w:p>
      <w:pPr>
        <w:pStyle w:val="Normal"/>
        <w:framePr w:w="360" w:hAnchor="page" w:vAnchor="page" w:x="5159" w:y="8194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0</w:t>
      </w:r>
    </w:p>
    <w:p>
      <w:pPr>
        <w:pStyle w:val="Normal"/>
        <w:framePr w:w="360" w:hAnchor="page" w:vAnchor="page" w:x="3027" w:y="7713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8</w:t>
      </w:r>
    </w:p>
    <w:p>
      <w:pPr>
        <w:pStyle w:val="Normal"/>
        <w:framePr w:w="2734" w:hAnchor="page" w:vAnchor="page" w:x="4439" w:y="7713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Shared Dispositive Power</w:t>
      </w:r>
    </w:p>
    <w:p>
      <w:pPr>
        <w:pStyle w:val="Normal"/>
        <w:framePr w:w="360" w:hAnchor="page" w:vAnchor="page" w:x="4439" w:y="7443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 xml:space="preserve">  </w:t>
      </w:r>
    </w:p>
    <w:p>
      <w:pPr>
        <w:pStyle w:val="Normal"/>
        <w:framePr w:w="360" w:hAnchor="page" w:vAnchor="page" w:x="5159" w:y="7203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0</w:t>
      </w:r>
    </w:p>
    <w:p>
      <w:pPr>
        <w:pStyle w:val="Normal"/>
        <w:framePr w:w="711" w:hAnchor="page" w:vAnchor="page" w:x="280" w:y="6828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With</w:t>
      </w:r>
    </w:p>
    <w:p>
      <w:pPr>
        <w:pStyle w:val="Normal"/>
        <w:framePr w:w="360" w:hAnchor="page" w:vAnchor="page" w:x="3027" w:y="6722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7</w:t>
      </w:r>
    </w:p>
    <w:p>
      <w:pPr>
        <w:pStyle w:val="Normal"/>
        <w:framePr w:w="2494" w:hAnchor="page" w:vAnchor="page" w:x="4439" w:y="6722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Sole Dispositive Power</w:t>
      </w:r>
    </w:p>
    <w:p>
      <w:pPr>
        <w:pStyle w:val="Normal"/>
        <w:framePr w:w="3507" w:hAnchor="page" w:vAnchor="page" w:x="280" w:y="6587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Owned by Each Reporting Person</w:t>
      </w:r>
    </w:p>
    <w:p>
      <w:pPr>
        <w:pStyle w:val="Normal"/>
        <w:framePr w:w="360" w:hAnchor="page" w:vAnchor="page" w:x="4439" w:y="6452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 xml:space="preserve">  </w:t>
      </w:r>
    </w:p>
    <w:p>
      <w:pPr>
        <w:pStyle w:val="Normal"/>
        <w:framePr w:w="3220" w:hAnchor="page" w:vAnchor="page" w:x="280" w:y="6347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Number of Shares Beneficially</w:t>
      </w:r>
    </w:p>
    <w:p>
      <w:pPr>
        <w:pStyle w:val="Normal"/>
        <w:framePr w:w="360" w:hAnchor="page" w:vAnchor="page" w:x="5159" w:y="6212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0</w:t>
      </w:r>
    </w:p>
    <w:p>
      <w:pPr>
        <w:pStyle w:val="Normal"/>
        <w:framePr w:w="360" w:hAnchor="page" w:vAnchor="page" w:x="3027" w:y="5732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6</w:t>
      </w:r>
    </w:p>
    <w:p>
      <w:pPr>
        <w:pStyle w:val="Normal"/>
        <w:framePr w:w="2276" w:hAnchor="page" w:vAnchor="page" w:x="4439" w:y="5732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Shared Voting Power</w:t>
      </w:r>
    </w:p>
    <w:p>
      <w:pPr>
        <w:pStyle w:val="Normal"/>
        <w:framePr w:w="360" w:hAnchor="page" w:vAnchor="page" w:x="4439" w:y="5461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 xml:space="preserve">  </w:t>
      </w:r>
    </w:p>
    <w:p>
      <w:pPr>
        <w:pStyle w:val="Normal"/>
        <w:framePr w:w="360" w:hAnchor="page" w:vAnchor="page" w:x="5159" w:y="5221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0</w:t>
      </w:r>
    </w:p>
    <w:p>
      <w:pPr>
        <w:pStyle w:val="Normal"/>
        <w:framePr w:w="360" w:hAnchor="page" w:vAnchor="page" w:x="3027" w:y="4741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5</w:t>
      </w:r>
    </w:p>
    <w:p>
      <w:pPr>
        <w:pStyle w:val="Normal"/>
        <w:framePr w:w="2036" w:hAnchor="page" w:vAnchor="page" w:x="4439" w:y="4741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Sole Voting Power</w:t>
      </w:r>
    </w:p>
    <w:p>
      <w:pPr>
        <w:pStyle w:val="Normal"/>
        <w:framePr w:w="360" w:hAnchor="page" w:vAnchor="page" w:x="1631" w:y="4471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 xml:space="preserve">  </w:t>
      </w:r>
    </w:p>
    <w:p>
      <w:pPr>
        <w:pStyle w:val="Normal"/>
        <w:framePr w:w="1954" w:hAnchor="page" w:vAnchor="page" w:x="1631" w:y="4230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United Kingdom</w:t>
      </w:r>
    </w:p>
    <w:p>
      <w:pPr>
        <w:pStyle w:val="Normal"/>
        <w:framePr w:w="360" w:hAnchor="page" w:vAnchor="page" w:x="1001" w:y="3750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4</w:t>
      </w:r>
    </w:p>
    <w:p>
      <w:pPr>
        <w:pStyle w:val="Normal"/>
        <w:framePr w:w="3743" w:hAnchor="page" w:vAnchor="page" w:x="1631" w:y="3750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Citizenship or Place of Organization</w:t>
      </w:r>
    </w:p>
    <w:p>
      <w:pPr>
        <w:pStyle w:val="Normal"/>
        <w:framePr w:w="360" w:hAnchor="page" w:vAnchor="page" w:x="1001" w:y="2999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3</w:t>
      </w:r>
    </w:p>
    <w:p>
      <w:pPr>
        <w:pStyle w:val="Normal"/>
        <w:framePr w:w="1654" w:hAnchor="page" w:vAnchor="page" w:x="1631" w:y="2999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SEC Use Only</w:t>
      </w:r>
    </w:p>
    <w:p>
      <w:pPr>
        <w:pStyle w:val="Normal"/>
        <w:framePr w:w="360" w:hAnchor="page" w:vAnchor="page" w:x="1631" w:y="2729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 xml:space="preserve">  </w:t>
      </w:r>
    </w:p>
    <w:p>
      <w:pPr>
        <w:pStyle w:val="Normal"/>
        <w:framePr w:w="5602" w:hAnchor="page" w:vAnchor="page" w:x="2352" w:y="2489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 xml:space="preserve">                                                                               (b) [  ]</w:t>
      </w:r>
    </w:p>
    <w:p>
      <w:pPr>
        <w:pStyle w:val="Normal"/>
        <w:framePr w:w="360" w:hAnchor="page" w:vAnchor="page" w:x="1001" w:y="2249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2</w:t>
      </w:r>
    </w:p>
    <w:p>
      <w:pPr>
        <w:pStyle w:val="Normal"/>
        <w:framePr w:w="6441" w:hAnchor="page" w:vAnchor="page" w:x="1631" w:y="2249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Check the Appropriate Box if a Member of a Group          (a) [  ]</w:t>
      </w:r>
    </w:p>
    <w:p>
      <w:pPr>
        <w:pStyle w:val="Normal"/>
        <w:framePr w:w="360" w:hAnchor="page" w:vAnchor="page" w:x="1631" w:y="1978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 xml:space="preserve">  </w:t>
      </w:r>
    </w:p>
    <w:p>
      <w:pPr>
        <w:pStyle w:val="Normal"/>
        <w:framePr w:w="1972" w:hAnchor="page" w:vAnchor="page" w:x="1631" w:y="1738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TechnipFMC plc</w:t>
      </w:r>
    </w:p>
    <w:p>
      <w:pPr>
        <w:pStyle w:val="Normal"/>
        <w:framePr w:w="360" w:hAnchor="page" w:vAnchor="page" w:x="1001" w:y="1258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1</w:t>
      </w:r>
    </w:p>
    <w:p>
      <w:pPr>
        <w:pStyle w:val="Normal"/>
        <w:framePr w:w="2994" w:hAnchor="page" w:vAnchor="page" w:x="1631" w:y="1258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Names of Reporting Persons</w:t>
      </w:r>
    </w:p>
    <w:p>
      <w:pPr>
        <w:pStyle w:val="Normal"/>
        <w:framePr w:w="2528" w:hAnchor="page" w:vAnchor="page" w:x="1278" w:y="297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CUSIP No. 87854Y109</w:t>
      </w:r>
    </w:p>
    <w:p>
      <w:pPr>
        <w:pStyle w:val="Normal"/>
        <w:framePr w:w="1594" w:hAnchor="page" w:vAnchor="page" w:x="5556" w:y="297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Schedule 13G</w:t>
      </w:r>
    </w:p>
    <w:p>
      <w:pPr>
        <w:pStyle w:val="Normal"/>
        <w:framePr w:w="1327" w:hAnchor="page" w:vAnchor="page" w:x="9556" w:y="297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Page 1 of 4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  <w:sectPr>
          <w:pgSz w:w="12240" w:h="20160"/>
          <w:pgMar w:top="400" w:right="400" w:bottom="400" w:left="400" w:header="720" w:footer="720"/>
          <w:pgNumType w:start="2"/>
          <w:cols w:space="720" w:sep="off"/>
          <w:docGrid w:line-pitch="31680"/>
        </w:sect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" style="position:absolute;margin-left:7pt;margin-top:1pt;z-index:-16777180;width:598pt;height:1005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" style="position:absolute;margin-left:13pt;margin-top:13pt;z-index:-16777176;width:196.4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" style="position:absolute;margin-left:13pt;margin-top:25.75pt;z-index:-16777172;width:196.4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" style="position:absolute;margin-left:13pt;margin-top:13pt;z-index:-16777168;width:2.75pt;height:15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" style="position:absolute;margin-left:207.4pt;margin-top:13pt;z-index:-16777164;width:196.4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" style="position:absolute;margin-left:207.4pt;margin-top:25.75pt;z-index:-16777160;width:196.4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" style="position:absolute;margin-left:207.4pt;margin-top:13pt;z-index:-16777156;width:2.75pt;height:15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" style="position:absolute;margin-left:402.2pt;margin-top:13.4pt;z-index:-16777152;width:196.4pt;height:14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" style="position:absolute;margin-left:80.55pt;margin-top:630.8pt;z-index:-16777148;width:518.4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" style="position:absolute;margin-left:13pt;margin-top:630.8pt;z-index:-16777144;width:69.5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" style="position:absolute;margin-left:80.55pt;margin-top:581.25pt;z-index:-16777140;width:518.4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" style="position:absolute;margin-left:13pt;margin-top:581.25pt;z-index:-16777136;width:69.5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" style="position:absolute;margin-left:80.55pt;margin-top:531.7pt;z-index:-16777132;width:518.4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" style="position:absolute;margin-left:13pt;margin-top:531.7pt;z-index:-16777128;width:69.5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" style="position:absolute;margin-left:80.55pt;margin-top:432.6pt;z-index:-16777124;width:518.4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" style="position:absolute;margin-left:80.55pt;margin-top:482.15pt;z-index:-16777120;width:518.4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" style="position:absolute;margin-left:13pt;margin-top:482.15pt;z-index:-16777116;width:69.5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" style="position:absolute;margin-left:571.45pt;margin-top:432.6pt;z-index:-16777112;width:27.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" style="position:absolute;margin-left:220.95pt;margin-top:432.6pt;z-index:-16777108;width:352.5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" style="position:absolute;margin-left:150.35pt;margin-top:432.6pt;z-index:-16777104;width:72.5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" style="position:absolute;margin-left:220.95pt;margin-top:383.05pt;z-index:-16777100;width:352.5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9" style="position:absolute;margin-left:150.35pt;margin-top:383.05pt;z-index:-16777096;width:72.5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0" style="position:absolute;margin-left:220.95pt;margin-top:333.55pt;z-index:-16777092;width:352.5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1" style="position:absolute;margin-left:150.35pt;margin-top:333.55pt;z-index:-16777088;width:72.5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2" style="position:absolute;margin-left:571.45pt;margin-top:234.45pt;z-index:-16777084;width:27.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3" style="position:absolute;margin-left:220.95pt;margin-top:234.45pt;z-index:-16777080;width:352.5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4" style="position:absolute;margin-left:220.95pt;margin-top:284pt;z-index:-16777076;width:352.5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5" style="position:absolute;margin-left:150.35pt;margin-top:234.45pt;z-index:-16777072;width:72.5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6" style="position:absolute;margin-left:150.35pt;margin-top:284pt;z-index:-16777068;width:72.5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7" style="position:absolute;margin-left:13pt;margin-top:234.45pt;z-index:-16777064;width:139.3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8" style="position:absolute;margin-left:13pt;margin-top:432.6pt;z-index:-16777060;width:139.3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9" style="position:absolute;margin-left:80.55pt;margin-top:234.45pt;z-index:-16777056;width:518.4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0" style="position:absolute;margin-left:13pt;margin-top:234.45pt;z-index:-16777052;width:69.5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1" style="position:absolute;margin-left:80.55pt;margin-top:184.9pt;z-index:-16777048;width:518.4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2" style="position:absolute;margin-left:13pt;margin-top:184.9pt;z-index:-16777044;width:69.5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3" style="position:absolute;margin-left:80.55pt;margin-top:147.35pt;z-index:-16777040;width:518.4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4" style="position:absolute;margin-left:13pt;margin-top:147.35pt;z-index:-16777036;width:69.5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5" style="position:absolute;margin-left:80.55pt;margin-top:60.3pt;z-index:-16777032;width:518.4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6" style="position:absolute;margin-left:80.55pt;margin-top:109.85pt;z-index:-16777028;width:518.4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7" style="position:absolute;margin-left:13pt;margin-top:60.3pt;z-index:-16777024;width:69.5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8" style="position:absolute;margin-left:13pt;margin-top:109.85pt;z-index:-16777020;width:69.5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9" style="position:absolute;margin-left:13pt;margin-top:654.8pt;z-index:-16777016;width:586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0" o:title=""/>
          </v:shape>
        </w:pict>
      </w:r>
    </w:p>
    <w:p>
      <w:pPr>
        <w:pStyle w:val="Normal"/>
        <w:framePr w:w="6116" w:hAnchor="page" w:vAnchor="page" w:x="280" w:y="11549"/>
        <w:widowControl w:val="off"/>
        <w:autoSpaceDE w:val="off"/>
        <w:autoSpaceDN w:val="off"/>
        <w:spacing w:before="0" w:after="0" w:line="233" w:lineRule="exact"/>
        <w:ind w:left="0" w:right="0" w:first-line="0"/>
        <w:jc w:val="left"/>
        <w:rPr>
          <w:rFonts w:ascii="DejaVuSans" w:hAnsi="DejaVuSans" w:fareast="DejaVuSans" w:cs="DejaVuSans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 xml:space="preserve">five percent of the class of securities, check the following: </w:t>
      </w:r>
      <w:r>
        <w:rPr>
          <w:rFonts w:ascii="DejaVuSans" w:hAnsi="DejaVuSans" w:fareast="DejaVuSans" w:cs="DejaVuSans"/>
          <w:color w:val="000000"/>
          <w:w w:val="100"/>
          <w:sz w:val="20"/>
          <w:szCs w:val="20"/>
        </w:rPr>
        <w:t>☒</w:t>
      </w:r>
    </w:p>
    <w:p>
      <w:pPr>
        <w:pStyle w:val="Normal"/>
        <w:framePr w:w="14188" w:hAnchor="page" w:vAnchor="page" w:x="280" w:y="11316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If this statement is being filed to report the fact that as of the date hereof the Reporting Person has ceased to be the beneficial owner of more than</w:t>
      </w:r>
    </w:p>
    <w:p>
      <w:pPr>
        <w:pStyle w:val="Normal"/>
        <w:framePr w:w="1120" w:hAnchor="page" w:vAnchor="page" w:x="280" w:y="10836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ITEM 5.</w:t>
      </w:r>
    </w:p>
    <w:p>
      <w:pPr>
        <w:pStyle w:val="Normal"/>
        <w:framePr w:w="4884" w:hAnchor="page" w:vAnchor="page" w:x="1286" w:y="10836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Ownership of Five Percent or Less of a Class.</w:t>
      </w:r>
    </w:p>
    <w:p>
      <w:pPr>
        <w:pStyle w:val="Normal"/>
        <w:framePr w:w="3101" w:hAnchor="page" w:vAnchor="page" w:x="280" w:y="10355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Ordinary Shares of the Issuer.</w:t>
      </w:r>
    </w:p>
    <w:p>
      <w:pPr>
        <w:pStyle w:val="Normal"/>
        <w:framePr w:w="13129" w:hAnchor="page" w:vAnchor="page" w:x="1001" w:y="10115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This statement on Schedule 13G is being filed to report that, as of the date hereof, the Reporting Person does not beneficially own any</w:t>
      </w:r>
    </w:p>
    <w:p>
      <w:pPr>
        <w:pStyle w:val="Normal"/>
        <w:framePr w:w="1120" w:hAnchor="page" w:vAnchor="page" w:x="280" w:y="9635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ITEM 4.</w:t>
      </w:r>
    </w:p>
    <w:p>
      <w:pPr>
        <w:pStyle w:val="Normal"/>
        <w:framePr w:w="1434" w:hAnchor="page" w:vAnchor="page" w:x="1286" w:y="9635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Ownership.</w:t>
      </w:r>
    </w:p>
    <w:p>
      <w:pPr>
        <w:pStyle w:val="Normal"/>
        <w:framePr w:w="1707" w:hAnchor="page" w:vAnchor="page" w:x="1001" w:y="9154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Not applicable.</w:t>
      </w:r>
    </w:p>
    <w:p>
      <w:pPr>
        <w:pStyle w:val="Normal"/>
        <w:framePr w:w="1120" w:hAnchor="page" w:vAnchor="page" w:x="280" w:y="8674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ITEM 3.</w:t>
      </w:r>
    </w:p>
    <w:p>
      <w:pPr>
        <w:pStyle w:val="Normal"/>
        <w:framePr w:w="1374" w:hAnchor="page" w:vAnchor="page" w:x="2442" w:y="8194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87854Y109</w:t>
      </w:r>
    </w:p>
    <w:p>
      <w:pPr>
        <w:pStyle w:val="Normal"/>
        <w:framePr w:w="506" w:hAnchor="page" w:vAnchor="page" w:x="1286" w:y="7713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(e)</w:t>
      </w:r>
    </w:p>
    <w:p>
      <w:pPr>
        <w:pStyle w:val="Normal"/>
        <w:framePr w:w="1954" w:hAnchor="page" w:vAnchor="page" w:x="2007" w:y="7713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CUSIP Number:</w:t>
      </w:r>
    </w:p>
    <w:p>
      <w:pPr>
        <w:pStyle w:val="Normal"/>
        <w:framePr w:w="6847" w:hAnchor="page" w:vAnchor="page" w:x="2442" w:y="7233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Ordinary shares, €0.01 nominal value per share (“Ordinary Shares”).</w:t>
      </w:r>
    </w:p>
    <w:p>
      <w:pPr>
        <w:pStyle w:val="Normal"/>
        <w:framePr w:w="533" w:hAnchor="page" w:vAnchor="page" w:x="1286" w:y="6752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(d)</w:t>
      </w:r>
    </w:p>
    <w:p>
      <w:pPr>
        <w:pStyle w:val="Normal"/>
        <w:framePr w:w="2983" w:hAnchor="page" w:vAnchor="page" w:x="2007" w:y="6752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Title of Class of Securities:</w:t>
      </w:r>
    </w:p>
    <w:p>
      <w:pPr>
        <w:pStyle w:val="Normal"/>
        <w:framePr w:w="7324" w:hAnchor="page" w:vAnchor="page" w:x="2442" w:y="6272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The Reporting Person is organized under the laws of the United Kingdom</w:t>
      </w:r>
    </w:p>
    <w:p>
      <w:pPr>
        <w:pStyle w:val="Normal"/>
        <w:framePr w:w="506" w:hAnchor="page" w:vAnchor="page" w:x="1286" w:y="5792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(c)</w:t>
      </w:r>
    </w:p>
    <w:p>
      <w:pPr>
        <w:pStyle w:val="Normal"/>
        <w:framePr w:w="1481" w:hAnchor="page" w:vAnchor="page" w:x="2007" w:y="5792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Citizenship:</w:t>
      </w:r>
    </w:p>
    <w:p>
      <w:pPr>
        <w:pStyle w:val="Normal"/>
        <w:framePr w:w="2168" w:hAnchor="page" w:vAnchor="page" w:x="2442" w:y="5311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Kingdom NE6 3PL.</w:t>
      </w:r>
    </w:p>
    <w:p>
      <w:pPr>
        <w:pStyle w:val="Normal"/>
        <w:framePr w:w="11269" w:hAnchor="page" w:vAnchor="page" w:x="2442" w:y="5071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The business address of the Reporting Person is Hadrian House, Wincomblee Road, Newcastle Upon Tyne, United</w:t>
      </w:r>
    </w:p>
    <w:p>
      <w:pPr>
        <w:pStyle w:val="Normal"/>
        <w:framePr w:w="533" w:hAnchor="page" w:vAnchor="page" w:x="1286" w:y="4591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(b)</w:t>
      </w:r>
    </w:p>
    <w:p>
      <w:pPr>
        <w:pStyle w:val="Normal"/>
        <w:framePr w:w="4077" w:hAnchor="page" w:vAnchor="page" w:x="2007" w:y="4591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Address or Principal Business Office:</w:t>
      </w:r>
    </w:p>
    <w:p>
      <w:pPr>
        <w:pStyle w:val="Normal"/>
        <w:framePr w:w="7798" w:hAnchor="page" w:vAnchor="page" w:x="2442" w:y="4110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This statement is filed on behalf of TechnipFMC plc (the “Reporting Person”).</w:t>
      </w:r>
    </w:p>
    <w:p>
      <w:pPr>
        <w:pStyle w:val="Normal"/>
        <w:framePr w:w="1120" w:hAnchor="page" w:vAnchor="page" w:x="280" w:y="3630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ITEM 2.</w:t>
      </w:r>
    </w:p>
    <w:p>
      <w:pPr>
        <w:pStyle w:val="Normal"/>
        <w:framePr w:w="3490" w:hAnchor="page" w:vAnchor="page" w:x="1286" w:y="3630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(a)</w:t>
      </w: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 xml:space="preserve">          </w:t>
      </w: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Name of Person Filing:</w:t>
      </w:r>
    </w:p>
    <w:p>
      <w:pPr>
        <w:pStyle w:val="Normal"/>
        <w:framePr w:w="3187" w:hAnchor="page" w:vAnchor="page" w:x="2442" w:y="3149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92741 Nanterre Cedex, France</w:t>
      </w:r>
    </w:p>
    <w:p>
      <w:pPr>
        <w:pStyle w:val="Normal"/>
        <w:framePr w:w="1254" w:hAnchor="page" w:vAnchor="page" w:x="2442" w:y="2909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CS 10266,</w:t>
      </w:r>
    </w:p>
    <w:p>
      <w:pPr>
        <w:pStyle w:val="Normal"/>
        <w:framePr w:w="3167" w:hAnchor="page" w:vAnchor="page" w:x="2442" w:y="2669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2126, boulevard de la Défense</w:t>
      </w:r>
    </w:p>
    <w:p>
      <w:pPr>
        <w:pStyle w:val="Normal"/>
        <w:framePr w:w="533" w:hAnchor="page" w:vAnchor="page" w:x="1286" w:y="2189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(b)</w:t>
      </w:r>
    </w:p>
    <w:p>
      <w:pPr>
        <w:pStyle w:val="Normal"/>
        <w:framePr w:w="5119" w:hAnchor="page" w:vAnchor="page" w:x="2007" w:y="2189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Address of Issuer’s Principal Executive Offices:</w:t>
      </w:r>
    </w:p>
    <w:p>
      <w:pPr>
        <w:pStyle w:val="Normal"/>
        <w:framePr w:w="3821" w:hAnchor="page" w:vAnchor="page" w:x="2442" w:y="1708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Technip Energies N.V. (the “Issuer”).</w:t>
      </w:r>
    </w:p>
    <w:p>
      <w:pPr>
        <w:pStyle w:val="Normal"/>
        <w:framePr w:w="1120" w:hAnchor="page" w:vAnchor="page" w:x="280" w:y="1228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ITEM 1.</w:t>
      </w:r>
    </w:p>
    <w:p>
      <w:pPr>
        <w:pStyle w:val="Normal"/>
        <w:framePr w:w="2750" w:hAnchor="page" w:vAnchor="page" w:x="1286" w:y="1228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(a)</w:t>
      </w: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 xml:space="preserve">          </w:t>
      </w: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Name of Issuer:</w:t>
      </w:r>
    </w:p>
    <w:p>
      <w:pPr>
        <w:pStyle w:val="Normal"/>
        <w:framePr w:w="2528" w:hAnchor="page" w:vAnchor="page" w:x="1278" w:y="297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CUSIP No. 87854Y109</w:t>
      </w:r>
    </w:p>
    <w:p>
      <w:pPr>
        <w:pStyle w:val="Normal"/>
        <w:framePr w:w="1594" w:hAnchor="page" w:vAnchor="page" w:x="5556" w:y="297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Schedule 13G</w:t>
      </w:r>
    </w:p>
    <w:p>
      <w:pPr>
        <w:pStyle w:val="Normal"/>
        <w:framePr w:w="1327" w:hAnchor="page" w:vAnchor="page" w:x="9556" w:y="297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Page 2 of 4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  <w:sectPr>
          <w:pgSz w:w="12240" w:h="20160"/>
          <w:pgMar w:top="400" w:right="400" w:bottom="400" w:left="400" w:header="720" w:footer="720"/>
          <w:pgNumType w:start="3"/>
          <w:cols w:space="720" w:sep="off"/>
          <w:docGrid w:line-pitch="31680"/>
        </w:sect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0" style="position:absolute;margin-left:7pt;margin-top:1pt;z-index:-16777012;width:598pt;height:1005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1" style="position:absolute;margin-left:13pt;margin-top:13pt;z-index:-16777008;width:196.4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2" style="position:absolute;margin-left:13pt;margin-top:25.75pt;z-index:-16777004;width:196.4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3" style="position:absolute;margin-left:13pt;margin-top:13pt;z-index:-16777000;width:2.75pt;height:15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4" style="position:absolute;margin-left:207.4pt;margin-top:13pt;z-index:-16776996;width:196.4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5" style="position:absolute;margin-left:207.4pt;margin-top:25.75pt;z-index:-16776992;width:196.4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6" style="position:absolute;margin-left:207.4pt;margin-top:13pt;z-index:-16776988;width:2.75pt;height:15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7" style="position:absolute;margin-left:402.2pt;margin-top:13.4pt;z-index:-16776984;width:196.4pt;height:14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8" style="position:absolute;margin-left:13pt;margin-top:611.25pt;z-index:-16776980;width:586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9" o:title=""/>
          </v:shape>
        </w:pict>
      </w:r>
    </w:p>
    <w:p>
      <w:pPr>
        <w:pStyle w:val="Normal"/>
        <w:framePr w:w="1707" w:hAnchor="page" w:vAnchor="page" w:x="1001" w:y="5792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Not applicable.</w:t>
      </w:r>
    </w:p>
    <w:p>
      <w:pPr>
        <w:pStyle w:val="Normal"/>
        <w:framePr w:w="2814" w:hAnchor="page" w:vAnchor="page" w:x="280" w:y="5311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ITEM 10.   Certification.</w:t>
      </w:r>
    </w:p>
    <w:p>
      <w:pPr>
        <w:pStyle w:val="Normal"/>
        <w:framePr w:w="1707" w:hAnchor="page" w:vAnchor="page" w:x="1001" w:y="4831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Not applicable.</w:t>
      </w:r>
    </w:p>
    <w:p>
      <w:pPr>
        <w:pStyle w:val="Normal"/>
        <w:framePr w:w="1120" w:hAnchor="page" w:vAnchor="page" w:x="280" w:y="4350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ITEM 9.</w:t>
      </w:r>
    </w:p>
    <w:p>
      <w:pPr>
        <w:pStyle w:val="Normal"/>
        <w:framePr w:w="3417" w:hAnchor="page" w:vAnchor="page" w:x="1286" w:y="4350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Notice of Dissolution of Group.</w:t>
      </w:r>
    </w:p>
    <w:p>
      <w:pPr>
        <w:pStyle w:val="Normal"/>
        <w:framePr w:w="1707" w:hAnchor="page" w:vAnchor="page" w:x="1001" w:y="3870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Not applicable.</w:t>
      </w:r>
    </w:p>
    <w:p>
      <w:pPr>
        <w:pStyle w:val="Normal"/>
        <w:framePr w:w="1120" w:hAnchor="page" w:vAnchor="page" w:x="280" w:y="3390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ITEM 8.</w:t>
      </w:r>
    </w:p>
    <w:p>
      <w:pPr>
        <w:pStyle w:val="Normal"/>
        <w:framePr w:w="6251" w:hAnchor="page" w:vAnchor="page" w:x="1286" w:y="3390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Identification and Classification of Members of the Group.</w:t>
      </w:r>
    </w:p>
    <w:p>
      <w:pPr>
        <w:pStyle w:val="Normal"/>
        <w:framePr w:w="1707" w:hAnchor="page" w:vAnchor="page" w:x="1001" w:y="2909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Not applicable.</w:t>
      </w:r>
    </w:p>
    <w:p>
      <w:pPr>
        <w:pStyle w:val="Normal"/>
        <w:framePr w:w="1287" w:hAnchor="page" w:vAnchor="page" w:x="1286" w:y="2429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Company.</w:t>
      </w:r>
    </w:p>
    <w:p>
      <w:pPr>
        <w:pStyle w:val="Normal"/>
        <w:framePr w:w="1120" w:hAnchor="page" w:vAnchor="page" w:x="280" w:y="2189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ITEM 7.</w:t>
      </w:r>
    </w:p>
    <w:p>
      <w:pPr>
        <w:pStyle w:val="Normal"/>
        <w:framePr w:w="12718" w:hAnchor="page" w:vAnchor="page" w:x="1286" w:y="2189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Identification and Classification of the Subsidiary Which Acquired the Security Being Reported on By the Parent Holding</w:t>
      </w:r>
    </w:p>
    <w:p>
      <w:pPr>
        <w:pStyle w:val="Normal"/>
        <w:framePr w:w="1707" w:hAnchor="page" w:vAnchor="page" w:x="1001" w:y="1708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Not applicable.</w:t>
      </w:r>
    </w:p>
    <w:p>
      <w:pPr>
        <w:pStyle w:val="Normal"/>
        <w:framePr w:w="1120" w:hAnchor="page" w:vAnchor="page" w:x="280" w:y="1228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ITEM 6.</w:t>
      </w:r>
    </w:p>
    <w:p>
      <w:pPr>
        <w:pStyle w:val="Normal"/>
        <w:framePr w:w="7160" w:hAnchor="page" w:vAnchor="page" w:x="1286" w:y="1228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Ownership of More than Five Percent on Behalf of Another Person.</w:t>
      </w:r>
    </w:p>
    <w:p>
      <w:pPr>
        <w:pStyle w:val="Normal"/>
        <w:framePr w:w="2528" w:hAnchor="page" w:vAnchor="page" w:x="1278" w:y="297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CUSIP No. 87854Y109</w:t>
      </w:r>
    </w:p>
    <w:p>
      <w:pPr>
        <w:pStyle w:val="Normal"/>
        <w:framePr w:w="1594" w:hAnchor="page" w:vAnchor="page" w:x="5556" w:y="297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Schedule 13G</w:t>
      </w:r>
    </w:p>
    <w:p>
      <w:pPr>
        <w:pStyle w:val="Normal"/>
        <w:framePr w:w="1327" w:hAnchor="page" w:vAnchor="page" w:x="9556" w:y="297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Page 3 of 4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  <w:sectPr>
          <w:pgSz w:w="12240" w:h="20160"/>
          <w:pgMar w:top="400" w:right="400" w:bottom="400" w:left="400" w:header="720" w:footer="720"/>
          <w:pgNumType w:start="4"/>
          <w:cols w:space="720" w:sep="off"/>
          <w:docGrid w:line-pitch="31680"/>
        </w:sect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9" style="position:absolute;margin-left:7pt;margin-top:1pt;z-index:-16776976;width:598pt;height:1005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0" style="position:absolute;margin-left:13pt;margin-top:13pt;z-index:-16776972;width:196.4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1" style="position:absolute;margin-left:13pt;margin-top:25.75pt;z-index:-16776968;width:196.4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2" style="position:absolute;margin-left:13pt;margin-top:13pt;z-index:-16776964;width:2.75pt;height:15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3" style="position:absolute;margin-left:207.4pt;margin-top:13pt;z-index:-16776960;width:196.4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4" style="position:absolute;margin-left:207.4pt;margin-top:25.75pt;z-index:-16776956;width:196.4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5" style="position:absolute;margin-left:207.4pt;margin-top:13pt;z-index:-16776952;width:2.75pt;height:15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6" style="position:absolute;margin-left:402.2pt;margin-top:13.4pt;z-index:-16776948;width:196.4pt;height:14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7" style="position:absolute;margin-left:13pt;margin-top:323pt;z-index:-16776944;width:586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8" o:title=""/>
          </v:shape>
        </w:pict>
      </w:r>
    </w:p>
    <w:p>
      <w:pPr>
        <w:pStyle w:val="Normal"/>
        <w:framePr w:w="752" w:hAnchor="page" w:vAnchor="page" w:x="6135" w:y="3870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Title:</w:t>
      </w:r>
    </w:p>
    <w:p>
      <w:pPr>
        <w:pStyle w:val="Normal"/>
        <w:framePr w:w="4049" w:hAnchor="page" w:vAnchor="page" w:x="6826" w:y="3870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EVP, Chief Legal Officer and Secretary</w:t>
      </w:r>
    </w:p>
    <w:p>
      <w:pPr>
        <w:pStyle w:val="Normal"/>
        <w:framePr w:w="880" w:hAnchor="page" w:vAnchor="page" w:x="6135" w:y="3630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Name:</w:t>
      </w:r>
    </w:p>
    <w:p>
      <w:pPr>
        <w:pStyle w:val="Normal"/>
        <w:framePr w:w="1619" w:hAnchor="page" w:vAnchor="page" w:x="6826" w:y="3630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Victoria Lazar</w:t>
      </w:r>
    </w:p>
    <w:p>
      <w:pPr>
        <w:pStyle w:val="Normal"/>
        <w:framePr w:w="587" w:hAnchor="page" w:vAnchor="page" w:x="6135" w:y="3390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By:</w:t>
      </w:r>
    </w:p>
    <w:p>
      <w:pPr>
        <w:pStyle w:val="Normal"/>
        <w:framePr w:w="1966" w:hAnchor="page" w:vAnchor="page" w:x="6826" w:y="3390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 xml:space="preserve">/s/ Victoria Lazar </w:t>
      </w:r>
    </w:p>
    <w:p>
      <w:pPr>
        <w:pStyle w:val="Normal"/>
        <w:framePr w:w="1972" w:hAnchor="page" w:vAnchor="page" w:x="6135" w:y="2909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TechnipFMC plc</w:t>
      </w:r>
    </w:p>
    <w:p>
      <w:pPr>
        <w:pStyle w:val="Normal"/>
        <w:framePr w:w="3154" w:hAnchor="page" w:vAnchor="page" w:x="280" w:y="2429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Date</w:t>
      </w: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:          February 14, 2023</w:t>
      </w:r>
    </w:p>
    <w:p>
      <w:pPr>
        <w:pStyle w:val="Normal"/>
        <w:framePr w:w="2313" w:hAnchor="page" w:vAnchor="page" w:x="280" w:y="1948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complete and correct.</w:t>
      </w:r>
    </w:p>
    <w:p>
      <w:pPr>
        <w:pStyle w:val="Normal"/>
        <w:framePr w:w="12849" w:hAnchor="page" w:vAnchor="page" w:x="1001" w:y="1708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After reasonable inquiry and to the best of my knowledge and belief, I certify that the information set forth in this statement is true,</w:t>
      </w:r>
    </w:p>
    <w:p>
      <w:pPr>
        <w:pStyle w:val="Normal"/>
        <w:framePr w:w="1650" w:hAnchor="page" w:vAnchor="page" w:x="5533" w:y="1228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SIGNATURE</w:t>
      </w:r>
    </w:p>
    <w:p>
      <w:pPr>
        <w:pStyle w:val="Normal"/>
        <w:framePr w:w="2528" w:hAnchor="page" w:vAnchor="page" w:x="1278" w:y="297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CUSIP No. 87854Y109</w:t>
      </w:r>
    </w:p>
    <w:p>
      <w:pPr>
        <w:pStyle w:val="Normal"/>
        <w:framePr w:w="1594" w:hAnchor="page" w:vAnchor="page" w:x="5556" w:y="297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Schedule 13G</w:t>
      </w:r>
    </w:p>
    <w:p>
      <w:pPr>
        <w:pStyle w:val="Normal"/>
        <w:framePr w:w="1327" w:hAnchor="page" w:vAnchor="page" w:x="9556" w:y="297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Page 4 of 4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8" style="position:absolute;margin-left:7pt;margin-top:1pt;z-index:-16776940;width:598pt;height:259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9" style="position:absolute;margin-left:13pt;margin-top:13pt;z-index:-16776936;width:196.4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0" style="position:absolute;margin-left:13pt;margin-top:25.75pt;z-index:-16776932;width:196.4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1" style="position:absolute;margin-left:13pt;margin-top:13pt;z-index:-16776928;width:2.75pt;height:15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2" style="position:absolute;margin-left:207.4pt;margin-top:13pt;z-index:-16776924;width:196.4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3" style="position:absolute;margin-left:207.4pt;margin-top:25.75pt;z-index:-16776920;width:196.4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4" style="position:absolute;margin-left:207.4pt;margin-top:13pt;z-index:-16776916;width:2.75pt;height:15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5" style="position:absolute;margin-left:402.2pt;margin-top:13.4pt;z-index:-16776912;width:196.4pt;height:14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6" style="position:absolute;margin-left:13pt;margin-top:233.7pt;z-index:-16776908;width:586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7" style="position:absolute;margin-left:340.3pt;margin-top:178.15pt;z-index:-16776904;width:73.9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8" o:title=""/>
          </v:shape>
        </w:pict>
      </w:r>
    </w:p>
    <w:sectPr>
      <w:pgSz w:w="12240" w:h="20160"/>
      <w:pgMar w:top="400" w:right="400" w:bottom="400" w:left="400" w:header="720" w:footer="720"/>
      <w:pgNumType w:start="5"/>
      <w:cols w:space="720" w:sep="off"/>
      <w:docGrid w:line-pitch="31680"/>
    </w:sectPr>
  </w:body>
</w:document>
</file>

<file path=word/fontTable.xml><?xml version="1.0" encoding="utf-8"?>
<w:fonts xmlns:w="http://schemas.openxmlformats.org/wordprocessingml/2006/main">
  <w:defaultFonts w:hintType="default" w:ascii="Calibri" w:h-ansi="Calibri" w:fareast="宋体"/>
  <w:font w:name="Times New Roman">
    <w:panose-1>"02020603050405020304"</w:panose-1>
    <w:charset>
      <w:val>"00"</w:val>
    </w:charset>
    <w:family>"Roman"</w:family>
    <w:notTrueType w:val="off"/>
    <w:pitch>"variable"</w:pitch>
    <w:sig w:usb0="01010101" w:usb1="01010101" w:usb2="01010101" w:usb3="01010101" w:csb0="01010101" w:csb1="01010101"/>
  </w:font>
  <w:font w:name="Symbol">
    <w:panose-1>"05050102010706020507"</w:panose-1>
    <w:charset>
      <w:val>"02"</w:val>
    </w:charset>
    <w:family>"Roman"</w:family>
    <w:notTrueType w:val="off"/>
    <w:pitch>"variable"</w:pitch>
    <w:sig w:usb0="01010101" w:usb1="01010101" w:usb2="01010101" w:usb3="01010101" w:csb0="01010101" w:csb1="01010101"/>
  </w:font>
  <w:font w:name="Arial">
    <w:panose-1>"020b0604020202020204"</w:panose-1>
    <w:charset>
      <w:val>"00"</w:val>
    </w:charset>
    <w:family>"Swiss"</w:family>
    <w:notTrueType w:val="off"/>
    <w:pitch>"variable"</w:pitch>
    <w:sig w:usb0="01010101" w:usb1="01010101" w:usb2="01010101" w:usb3="01010101" w:csb0="01010101" w:csb1="01010101"/>
  </w:font>
  <w:font w:name="Calibri">
    <w:panose-1>"020f0502020204030204"</w:panose-1>
    <w:charset>
      <w:val>"00"</w:val>
    </w:charset>
    <w:family>"Swiss"</w:family>
    <w:notTrueType w:val="off"/>
    <w:pitch>"variable"</w:pitch>
    <w:sig w:usb0="01010101" w:usb1="01010101" w:usb2="01010101" w:usb3="01010101" w:csb0="01010101" w:csb1="01010101"/>
  </w:font>
  <w:font w:name="宋体">
    <w:altName>"SimSun"</w:altName>
    <w:panose-1>"02010600030101010101"</w:panose-1>
    <w:charset>
      <w:val>"86"</w:val>
    </w:charset>
    <w:family>"Auto"</w:family>
    <w:notTrueType w:val="off"/>
    <w:pitch>"variable"</w:pitch>
    <w:sig w:usb0="01010101" w:usb1="01010101" w:usb2="01010101" w:usb3="01010101" w:csb0="01010101" w:csb1="01010101"/>
  </w:font>
  <w:font w:name="Cambria Math">
    <w:panose-1>"02040503050406030204"</w:panose-1>
    <w:charset>
      <w:val>"01"</w:val>
    </w:charset>
    <w:family>"Roman"</w:family>
    <w:notTrueType w:val="on"/>
    <w:pitch>"variable"</w:pitch>
    <w:sig w:usb0="01010101" w:usb1="01010101" w:usb2="01010101" w:usb3="01010101" w:csb0="01010101" w:csb1="01010101"/>
  </w:font>
  <w:font w:name="TimesNewRomanPSMT">
    <w:panose-1>"02020603050405020304"</w:panose-1>
    <w:charset>
      <w:val>"01"</w:val>
    </w:charset>
    <w:family>"Roman"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1" w:fontKey="{0b244c23-0000-0000-0000-000000000000}"/>
  </w:font>
  <w:font w:name="TimesNewRomanPS-BoldMT">
    <w:panose-1>"02020803070505020304"</w:panose-1>
    <w:charset>
      <w:val>"01"</w:val>
    </w:charset>
    <w:family>"Roman"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2" w:fontKey="{caef09bc-0000-0000-0000-000000000000}"/>
  </w:font>
  <w:font w:name="DejaVuSans">
    <w:panose-1>"020b0603030804020204"</w:panose-1>
    <w:charset>
      <w:val>"01"</w:val>
    </w:charset>
    <w:family>"Swiss"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3" w:fontKey="{be00ae22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style w:type="paragraph" w:styleId="Normal" w:default="on">
    <w:name w:val="Normal"/>
    <w:next w:val="Normal"/>
    <w:link w:val="Normal"/>
    <w:pPr>
      <w:pStyle w:val="Normal"/>
      <w:spacing w:after="200" w:line="276"/>
    </w:pPr>
    <w:rPr>
      <w:sz w:val="22"/>
      <w:szCs w:val="22"/>
      <w:lang w:val="en-US" w:fareast="zh-CN" w:bidi="ar-SA"/>
    </w:rPr>
  </w:style>
  <w:style w:type="character" w:styleId="DefaultParagraphFont" w:default="on">
    <w:name w:val="Default Paragraph Font"/>
    <w:next w:val="DefaultParagraphFont"/>
    <w:link w:val="Normal"/>
    <w:semiHidden w:val="on"/>
  </w:style>
  <w:style w:type="table" w:styleId="TableNormal" w:default="on">
    <w:name w:val="Table Normal"/>
    <w:next w:val="TableNormal"/>
    <w:link w:val="Normal"/>
    <w:semiHidden w:val="on"/>
    <w:pPr>
      <w:pStyle w:val="TableNormal"/>
    </w:pPr>
    <w:tblPr>
      <w:tblInd w:w="0" w:type="dxa"/>
      <w:tblLayout>"Fixed"</w:tblLayout>
      <w:tblCellMar>
        <w:top w:w="0" w:type="dxa"/>
        <w:left w:w="108" w:type="dxa"/>
        <w:bottom w:w="0" w:type="dxa"/>
        <w:right w:w="0" w:type="dxa"/>
      </w:tblCellMar>
    </w:tblPr>
  </w:style>
  <w:style w:type="list" w:styleId="NoList" w:default="on">
    <w:name w:val="No List"/>
    <w:next w:val="NoList"/>
    <w:link w:val="Normal"/>
    <w:semiHidden w:val="on"/>
    <w:pPr>
      <w:pStyle w:val="NoLi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media/image1.png" Type="http://schemas.openxmlformats.org/officeDocument/2006/relationships/image"/><Relationship Id="rId10" Target="media/image10.png" Type="http://schemas.openxmlformats.org/officeDocument/2006/relationships/image"/><Relationship Id="rId11" Target="media/image11.png" Type="http://schemas.openxmlformats.org/officeDocument/2006/relationships/image"/><Relationship Id="rId12" Target="media/image12.png" Type="http://schemas.openxmlformats.org/officeDocument/2006/relationships/image"/><Relationship Id="rId13" Target="media/image13.png" Type="http://schemas.openxmlformats.org/officeDocument/2006/relationships/image"/><Relationship Id="rId14" Target="media/image14.png" Type="http://schemas.openxmlformats.org/officeDocument/2006/relationships/image"/><Relationship Id="rId15" Target="media/image15.png" Type="http://schemas.openxmlformats.org/officeDocument/2006/relationships/image"/><Relationship Id="rId16" Target="media/image16.png" Type="http://schemas.openxmlformats.org/officeDocument/2006/relationships/image"/><Relationship Id="rId17" Target="media/image17.png" Type="http://schemas.openxmlformats.org/officeDocument/2006/relationships/image"/><Relationship Id="rId18" Target="media/image18.png" Type="http://schemas.openxmlformats.org/officeDocument/2006/relationships/image"/><Relationship Id="rId19" Target="media/image19.png" Type="http://schemas.openxmlformats.org/officeDocument/2006/relationships/image"/><Relationship Id="rId2" Target="media/image2.png" Type="http://schemas.openxmlformats.org/officeDocument/2006/relationships/image"/><Relationship Id="rId20" Target="media/image20.png" Type="http://schemas.openxmlformats.org/officeDocument/2006/relationships/image"/><Relationship Id="rId21" Target="media/image21.png" Type="http://schemas.openxmlformats.org/officeDocument/2006/relationships/image"/><Relationship Id="rId22" Target="media/image22.png" Type="http://schemas.openxmlformats.org/officeDocument/2006/relationships/image"/><Relationship Id="rId23" Target="media/image23.png" Type="http://schemas.openxmlformats.org/officeDocument/2006/relationships/image"/><Relationship Id="rId24" Target="media/image24.png" Type="http://schemas.openxmlformats.org/officeDocument/2006/relationships/image"/><Relationship Id="rId25" Target="media/image25.png" Type="http://schemas.openxmlformats.org/officeDocument/2006/relationships/image"/><Relationship Id="rId26" Target="media/image26.png" Type="http://schemas.openxmlformats.org/officeDocument/2006/relationships/image"/><Relationship Id="rId27" Target="media/image27.png" Type="http://schemas.openxmlformats.org/officeDocument/2006/relationships/image"/><Relationship Id="rId28" Target="media/image28.png" Type="http://schemas.openxmlformats.org/officeDocument/2006/relationships/image"/><Relationship Id="rId29" Target="media/image29.png" Type="http://schemas.openxmlformats.org/officeDocument/2006/relationships/image"/><Relationship Id="rId3" Target="media/image3.png" Type="http://schemas.openxmlformats.org/officeDocument/2006/relationships/image"/><Relationship Id="rId30" Target="media/image30.png" Type="http://schemas.openxmlformats.org/officeDocument/2006/relationships/image"/><Relationship Id="rId31" Target="media/image31.png" Type="http://schemas.openxmlformats.org/officeDocument/2006/relationships/image"/><Relationship Id="rId32" Target="media/image32.png" Type="http://schemas.openxmlformats.org/officeDocument/2006/relationships/image"/><Relationship Id="rId33" Target="media/image33.png" Type="http://schemas.openxmlformats.org/officeDocument/2006/relationships/image"/><Relationship Id="rId34" Target="media/image34.png" Type="http://schemas.openxmlformats.org/officeDocument/2006/relationships/image"/><Relationship Id="rId35" Target="media/image35.png" Type="http://schemas.openxmlformats.org/officeDocument/2006/relationships/image"/><Relationship Id="rId36" Target="media/image36.png" Type="http://schemas.openxmlformats.org/officeDocument/2006/relationships/image"/><Relationship Id="rId37" Target="media/image37.png" Type="http://schemas.openxmlformats.org/officeDocument/2006/relationships/image"/><Relationship Id="rId38" Target="media/image38.png" Type="http://schemas.openxmlformats.org/officeDocument/2006/relationships/image"/><Relationship Id="rId39" Target="media/image39.png" Type="http://schemas.openxmlformats.org/officeDocument/2006/relationships/image"/><Relationship Id="rId4" Target="media/image4.png" Type="http://schemas.openxmlformats.org/officeDocument/2006/relationships/image"/><Relationship Id="rId40" Target="media/image40.png" Type="http://schemas.openxmlformats.org/officeDocument/2006/relationships/image"/><Relationship Id="rId41" Target="media/image41.png" Type="http://schemas.openxmlformats.org/officeDocument/2006/relationships/image"/><Relationship Id="rId42" Target="media/image42.png" Type="http://schemas.openxmlformats.org/officeDocument/2006/relationships/image"/><Relationship Id="rId43" Target="media/image43.png" Type="http://schemas.openxmlformats.org/officeDocument/2006/relationships/image"/><Relationship Id="rId44" Target="media/image44.png" Type="http://schemas.openxmlformats.org/officeDocument/2006/relationships/image"/><Relationship Id="rId45" Target="media/image45.png" Type="http://schemas.openxmlformats.org/officeDocument/2006/relationships/image"/><Relationship Id="rId46" Target="media/image46.png" Type="http://schemas.openxmlformats.org/officeDocument/2006/relationships/image"/><Relationship Id="rId47" Target="media/image47.png" Type="http://schemas.openxmlformats.org/officeDocument/2006/relationships/image"/><Relationship Id="rId48" Target="media/image48.png" Type="http://schemas.openxmlformats.org/officeDocument/2006/relationships/image"/><Relationship Id="rId49" Target="media/image49.png" Type="http://schemas.openxmlformats.org/officeDocument/2006/relationships/image"/><Relationship Id="rId5" Target="media/image5.png" Type="http://schemas.openxmlformats.org/officeDocument/2006/relationships/image"/><Relationship Id="rId50" Target="media/image50.png" Type="http://schemas.openxmlformats.org/officeDocument/2006/relationships/image"/><Relationship Id="rId51" Target="media/image51.png" Type="http://schemas.openxmlformats.org/officeDocument/2006/relationships/image"/><Relationship Id="rId52" Target="media/image52.png" Type="http://schemas.openxmlformats.org/officeDocument/2006/relationships/image"/><Relationship Id="rId53" Target="media/image53.png" Type="http://schemas.openxmlformats.org/officeDocument/2006/relationships/image"/><Relationship Id="rId54" Target="media/image54.png" Type="http://schemas.openxmlformats.org/officeDocument/2006/relationships/image"/><Relationship Id="rId55" Target="media/image55.png" Type="http://schemas.openxmlformats.org/officeDocument/2006/relationships/image"/><Relationship Id="rId56" Target="media/image56.png" Type="http://schemas.openxmlformats.org/officeDocument/2006/relationships/image"/><Relationship Id="rId57" Target="media/image57.png" Type="http://schemas.openxmlformats.org/officeDocument/2006/relationships/image"/><Relationship Id="rId58" Target="media/image58.png" Type="http://schemas.openxmlformats.org/officeDocument/2006/relationships/image"/><Relationship Id="rId59" Target="media/image59.png" Type="http://schemas.openxmlformats.org/officeDocument/2006/relationships/image"/><Relationship Id="rId6" Target="media/image6.png" Type="http://schemas.openxmlformats.org/officeDocument/2006/relationships/image"/><Relationship Id="rId60" Target="media/image60.png" Type="http://schemas.openxmlformats.org/officeDocument/2006/relationships/image"/><Relationship Id="rId61" Target="media/image61.png" Type="http://schemas.openxmlformats.org/officeDocument/2006/relationships/image"/><Relationship Id="rId62" Target="media/image62.png" Type="http://schemas.openxmlformats.org/officeDocument/2006/relationships/image"/><Relationship Id="rId63" Target="media/image63.png" Type="http://schemas.openxmlformats.org/officeDocument/2006/relationships/image"/><Relationship Id="rId64" Target="media/image64.png" Type="http://schemas.openxmlformats.org/officeDocument/2006/relationships/image"/><Relationship Id="rId65" Target="media/image65.png" Type="http://schemas.openxmlformats.org/officeDocument/2006/relationships/image"/><Relationship Id="rId66" Target="media/image66.png" Type="http://schemas.openxmlformats.org/officeDocument/2006/relationships/image"/><Relationship Id="rId67" Target="media/image67.png" Type="http://schemas.openxmlformats.org/officeDocument/2006/relationships/image"/><Relationship Id="rId68" Target="media/image68.png" Type="http://schemas.openxmlformats.org/officeDocument/2006/relationships/image"/><Relationship Id="rId69" Target="media/image69.png" Type="http://schemas.openxmlformats.org/officeDocument/2006/relationships/image"/><Relationship Id="rId7" Target="media/image7.png" Type="http://schemas.openxmlformats.org/officeDocument/2006/relationships/image"/><Relationship Id="rId70" Target="media/image70.png" Type="http://schemas.openxmlformats.org/officeDocument/2006/relationships/image"/><Relationship Id="rId71" Target="media/image71.png" Type="http://schemas.openxmlformats.org/officeDocument/2006/relationships/image"/><Relationship Id="rId72" Target="media/image72.png" Type="http://schemas.openxmlformats.org/officeDocument/2006/relationships/image"/><Relationship Id="rId73" Target="media/image73.png" Type="http://schemas.openxmlformats.org/officeDocument/2006/relationships/image"/><Relationship Id="rId74" Target="media/image74.png" Type="http://schemas.openxmlformats.org/officeDocument/2006/relationships/image"/><Relationship Id="rId75" Target="media/image75.png" Type="http://schemas.openxmlformats.org/officeDocument/2006/relationships/image"/><Relationship Id="rId76" Target="media/image76.png" Type="http://schemas.openxmlformats.org/officeDocument/2006/relationships/image"/><Relationship Id="rId77" Target="media/image77.png" Type="http://schemas.openxmlformats.org/officeDocument/2006/relationships/image"/><Relationship Id="rId78" Target="media/image78.png" Type="http://schemas.openxmlformats.org/officeDocument/2006/relationships/image"/><Relationship Id="rId79" Target="styles.xml" Type="http://schemas.openxmlformats.org/officeDocument/2006/relationships/styles"/><Relationship Id="rId8" Target="media/image8.png" Type="http://schemas.openxmlformats.org/officeDocument/2006/relationships/image"/><Relationship Id="rId80" Target="fontTable.xml" Type="http://schemas.openxmlformats.org/officeDocument/2006/relationships/fontTable"/><Relationship Id="rId81" Target="settings.xml" Type="http://schemas.openxmlformats.org/officeDocument/2006/relationships/settings"/><Relationship Id="rId82" Target="webSettings.xml" Type="http://schemas.openxmlformats.org/officeDocument/2006/relationships/webSettings"/><Relationship Id="rId9" Target="media/image9.png" Type="http://schemas.openxmlformats.org/officeDocument/2006/relationships/image"/></Relationships>
</file>

<file path=word/_rels/fontTable.xml.rels><?xml version="1.0" encoding="UTF-8" standalone="yes"?><Relationships xmlns="http://schemas.openxmlformats.org/package/2006/relationships"><Relationship Id="rId1" Target="fonts/font1.odttf" Type="http://schemas.openxmlformats.org/officeDocument/2006/relationships/font"/><Relationship Id="rId2" Target="fonts/font2.odttf" Type="http://schemas.openxmlformats.org/officeDocument/2006/relationships/font"/><Relationship Id="rId3" Target="fonts/font3.odttf" Type="http://schemas.openxmlformats.org/officeDocument/2006/relationships/font"/></Relationships>
</file>

<file path=docProps/app.xml><?xml version="1.0" encoding="utf-8"?>
<Properties xmlns="http://schemas.openxmlformats.org/officeDocument/2006/extended-properties">
  <Template>Normal.dotm</Template>
  <TotalTime>3</TotalTime>
  <Pages>5</Pages>
  <Words>658</Words>
  <Characters>3251</Characters>
  <Application>e-iceblue</Application>
  <DocSecurity>0</DocSecurity>
  <Lines>148</Lines>
  <Paragraphs>148</Paragraphs>
  <ScaleCrop>false</ScaleCrop>
  <Company>e-iceblue</Company>
  <LinksUpToDate>false</LinksUpToDate>
  <CharactersWithSpaces>3919</CharactersWithSpaces>
  <SharedDoc>false</SharedDoc>
  <HyperlinksChanged>false</HyperlinksChanged>
  <AppVersion>1.0000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2023-02-14T13:14:05Z</dcterms:created>
  <dc:creator>root</dc:creator>
  <cp:lastModifiedBy>root</cp:lastModifiedBy>
  <dcterms:modified xsi:type="dcterms:W3CDTF">2023-02-14T13:14:05Z</dcterms:modified>
  <cp:revision>1</cp:revision>
</cp:coreProperties>
</file>