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0599" w:hAnchor="page" w:vAnchor="page" w:x="282" w:y="94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Persons who respond to the collection of information contained in this form are not required to respond unless the form displays a currently valid OMB Number</w:t>
      </w:r>
    </w:p>
    <w:p>
      <w:pPr>
        <w:pStyle w:val="Normal"/>
        <w:framePr w:w="169" w:hAnchor="page" w:vAnchor="page" w:x="8679" w:y="94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w:t>
      </w:r>
    </w:p>
    <w:p>
      <w:pPr>
        <w:pStyle w:val="Normal"/>
        <w:framePr w:w="7756" w:hAnchor="page" w:vAnchor="page" w:x="282" w:y="930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Note: File three copies of this Form, one of which must be manually signed. If space is insufficient,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6 for procedure.</w:t>
      </w:r>
    </w:p>
    <w:p>
      <w:pPr>
        <w:pStyle w:val="Normal"/>
        <w:framePr w:w="7783" w:hAnchor="page" w:vAnchor="page" w:x="282" w:y="914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Intentional misstatements or omissions of facts constitute Federal Criminal Violations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18 U.S.C. 1001 and 15 U.S.C. 78ff(a).</w:t>
      </w:r>
    </w:p>
    <w:p>
      <w:pPr>
        <w:pStyle w:val="Normal"/>
        <w:framePr w:w="4936" w:hAnchor="page" w:vAnchor="page" w:x="282" w:y="897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If the form is filed by more than one reporting person,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4 (b)(v).</w:t>
      </w:r>
    </w:p>
    <w:p>
      <w:pPr>
        <w:pStyle w:val="Normal"/>
        <w:framePr w:w="6756" w:hAnchor="page" w:vAnchor="page" w:x="282" w:y="88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Reminder: Report on a separate line for each class of securities beneficially owned directly or indirectly</w:t>
      </w:r>
    </w:p>
    <w:p>
      <w:pPr>
        <w:pStyle w:val="Normal"/>
        <w:framePr w:w="169" w:hAnchor="page" w:vAnchor="page" w:x="5296" w:y="88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2055" w:hAnchor="page" w:vAnchor="page" w:x="7297" w:y="86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Signature of Reporting Person</w:t>
      </w:r>
    </w:p>
    <w:p>
      <w:pPr>
        <w:pStyle w:val="Normal"/>
        <w:framePr w:w="412" w:hAnchor="page" w:vAnchor="page" w:x="9650" w:y="86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Date</w:t>
      </w:r>
    </w:p>
    <w:p>
      <w:pPr>
        <w:pStyle w:val="Normal"/>
        <w:framePr w:w="2528" w:hAnchor="page" w:vAnchor="page" w:x="7297" w:y="84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 Lisa P. Wang, Attorney-In-Fact</w:t>
      </w:r>
    </w:p>
    <w:p>
      <w:pPr>
        <w:pStyle w:val="Normal"/>
        <w:framePr w:w="953" w:hAnchor="page" w:vAnchor="page" w:x="9650" w:y="84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02/21/2024</w:t>
      </w:r>
    </w:p>
    <w:p>
      <w:pPr>
        <w:pStyle w:val="Normal"/>
        <w:framePr w:w="954" w:hAnchor="page" w:vAnchor="page" w:x="282" w:y="8151"/>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Remarks:</w:t>
      </w:r>
    </w:p>
    <w:p>
      <w:pPr>
        <w:pStyle w:val="Normal"/>
        <w:framePr w:w="7605" w:hAnchor="page" w:vAnchor="page" w:x="282" w:y="7984"/>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 Grant of restricted stock units, each of which represents a contingent right to receive one Ordinary Share, that will vest February 20, 2025.</w:t>
      </w:r>
    </w:p>
    <w:p>
      <w:pPr>
        <w:pStyle w:val="Normal"/>
        <w:framePr w:w="1834" w:hAnchor="page" w:vAnchor="page" w:x="282" w:y="7817"/>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Explanation of Responses:</w:t>
      </w:r>
    </w:p>
    <w:p>
      <w:pPr>
        <w:pStyle w:val="Normal"/>
        <w:framePr w:w="418" w:hAnchor="page" w:vAnchor="page" w:x="4126"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4568"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286" w:hAnchor="page" w:vAnchor="page" w:x="5010"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w:t>
      </w:r>
    </w:p>
    <w:p>
      <w:pPr>
        <w:pStyle w:val="Normal"/>
        <w:framePr w:w="286" w:hAnchor="page" w:vAnchor="page" w:x="5529"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w:t>
      </w:r>
    </w:p>
    <w:p>
      <w:pPr>
        <w:pStyle w:val="Normal"/>
        <w:framePr w:w="783" w:hAnchor="page" w:vAnchor="page" w:x="6059"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79" w:hAnchor="page" w:vAnchor="page" w:x="6733"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3" w:hAnchor="page" w:vAnchor="page" w:x="7341"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18" w:hAnchor="page" w:vAnchor="page" w:x="8335"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379" w:hAnchor="page" w:vAnchor="page" w:x="6059"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3" w:hAnchor="page" w:vAnchor="page" w:x="6733"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17" w:hAnchor="page" w:vAnchor="page" w:x="8335"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584" w:hAnchor="page" w:vAnchor="page" w:x="9771"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723" w:hAnchor="page" w:vAnchor="page" w:x="8335" w:y="738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935" w:hAnchor="page" w:vAnchor="page" w:x="9771" w:y="738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w:t>
      </w:r>
    </w:p>
    <w:p>
      <w:pPr>
        <w:pStyle w:val="Normal"/>
        <w:framePr w:w="644" w:hAnchor="page" w:vAnchor="page" w:x="9771" w:y="727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Reported</w:t>
      </w:r>
    </w:p>
    <w:p>
      <w:pPr>
        <w:pStyle w:val="Normal"/>
        <w:framePr w:w="763" w:hAnchor="page" w:vAnchor="page" w:x="1607"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226" w:hAnchor="page" w:vAnchor="page" w:x="5010"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w:t>
      </w:r>
    </w:p>
    <w:p>
      <w:pPr>
        <w:pStyle w:val="Normal"/>
        <w:framePr w:w="677" w:hAnchor="page" w:vAnchor="page" w:x="9771"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w:t>
      </w:r>
    </w:p>
    <w:p>
      <w:pPr>
        <w:pStyle w:val="Normal"/>
        <w:framePr w:w="584" w:hAnchor="page" w:vAnchor="page" w:x="10567"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690" w:hAnchor="page" w:vAnchor="page" w:x="1607"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1121" w:hAnchor="page" w:vAnchor="page" w:x="5010"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w:t>
      </w:r>
    </w:p>
    <w:p>
      <w:pPr>
        <w:pStyle w:val="Normal"/>
        <w:framePr w:w="518" w:hAnchor="page" w:vAnchor="page" w:x="9771"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Owned</w:t>
      </w:r>
    </w:p>
    <w:p>
      <w:pPr>
        <w:pStyle w:val="Normal"/>
        <w:framePr w:w="697" w:hAnchor="page" w:vAnchor="page" w:x="10567"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w:t>
      </w:r>
    </w:p>
    <w:p>
      <w:pPr>
        <w:pStyle w:val="Normal"/>
        <w:framePr w:w="584" w:hAnchor="page" w:vAnchor="page" w:x="11251"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558" w:hAnchor="page" w:vAnchor="page" w:x="1607"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1095" w:hAnchor="page" w:vAnchor="page" w:x="3198"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154" w:hAnchor="page" w:vAnchor="page" w:x="5010"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Disposed of</w:t>
      </w:r>
    </w:p>
    <w:p>
      <w:pPr>
        <w:pStyle w:val="Normal"/>
        <w:framePr w:w="584" w:hAnchor="page" w:vAnchor="page" w:x="9086"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955" w:hAnchor="page" w:vAnchor="page" w:x="9771"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w:t>
      </w:r>
    </w:p>
    <w:p>
      <w:pPr>
        <w:pStyle w:val="Normal"/>
        <w:framePr w:w="809" w:hAnchor="page" w:vAnchor="page" w:x="10567"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w:t>
      </w:r>
    </w:p>
    <w:p>
      <w:pPr>
        <w:pStyle w:val="Normal"/>
        <w:framePr w:w="737" w:hAnchor="page" w:vAnchor="page" w:x="11251"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763" w:hAnchor="page" w:vAnchor="page" w:x="1607"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95" w:hAnchor="page" w:vAnchor="page" w:x="2270"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3198"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41" w:hAnchor="page" w:vAnchor="page" w:x="5010"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 Acquired</w:t>
      </w:r>
    </w:p>
    <w:p>
      <w:pPr>
        <w:pStyle w:val="Normal"/>
        <w:framePr w:w="1095" w:hAnchor="page" w:vAnchor="page" w:x="6059"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929" w:hAnchor="page" w:vAnchor="page" w:x="734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3 and 4)</w:t>
      </w:r>
    </w:p>
    <w:p>
      <w:pPr>
        <w:pStyle w:val="Normal"/>
        <w:framePr w:w="763" w:hAnchor="page" w:vAnchor="page" w:x="9086"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0" w:hAnchor="page" w:vAnchor="page" w:x="977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w:t>
      </w:r>
    </w:p>
    <w:p>
      <w:pPr>
        <w:pStyle w:val="Normal"/>
        <w:framePr w:w="458" w:hAnchor="page" w:vAnchor="page" w:x="10567"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w:t>
      </w:r>
    </w:p>
    <w:p>
      <w:pPr>
        <w:pStyle w:val="Normal"/>
        <w:framePr w:w="684" w:hAnchor="page" w:vAnchor="page" w:x="1125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1267" w:hAnchor="page" w:vAnchor="page" w:x="315"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3)</w:t>
      </w:r>
    </w:p>
    <w:p>
      <w:pPr>
        <w:pStyle w:val="Normal"/>
        <w:framePr w:w="776" w:hAnchor="page" w:vAnchor="page" w:x="1607"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Conversion</w:t>
      </w:r>
    </w:p>
    <w:p>
      <w:pPr>
        <w:pStyle w:val="Normal"/>
        <w:framePr w:w="379" w:hAnchor="page" w:vAnchor="page" w:x="2270"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3198"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4126"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690" w:hAnchor="page" w:vAnchor="page" w:x="5010"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995" w:hAnchor="page" w:vAnchor="page" w:x="6059"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2195" w:hAnchor="page" w:vAnchor="page" w:x="734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Underlying Derivative Security</w:t>
      </w:r>
    </w:p>
    <w:p>
      <w:pPr>
        <w:pStyle w:val="Normal"/>
        <w:framePr w:w="690" w:hAnchor="page" w:vAnchor="page" w:x="9086"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677" w:hAnchor="page" w:vAnchor="page" w:x="977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737" w:hAnchor="page" w:vAnchor="page" w:x="10567"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551" w:hAnchor="page" w:vAnchor="page" w:x="1125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1245" w:hAnchor="page" w:vAnchor="page" w:x="315"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w:t>
      </w:r>
    </w:p>
    <w:p>
      <w:pPr>
        <w:pStyle w:val="Normal"/>
        <w:framePr w:w="220" w:hAnchor="page" w:vAnchor="page" w:x="1607"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w:t>
      </w:r>
    </w:p>
    <w:p>
      <w:pPr>
        <w:pStyle w:val="Normal"/>
        <w:framePr w:w="922" w:hAnchor="page" w:vAnchor="page" w:x="2270"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803" w:hAnchor="page" w:vAnchor="page" w:x="3198"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3A. Deemed</w:t>
      </w:r>
    </w:p>
    <w:p>
      <w:pPr>
        <w:pStyle w:val="Normal"/>
        <w:framePr w:w="922" w:hAnchor="page" w:vAnchor="page" w:x="4126"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Transaction</w:t>
      </w:r>
    </w:p>
    <w:p>
      <w:pPr>
        <w:pStyle w:val="Normal"/>
        <w:framePr w:w="849" w:hAnchor="page" w:vAnchor="page" w:x="5010"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Number of</w:t>
      </w:r>
    </w:p>
    <w:p>
      <w:pPr>
        <w:pStyle w:val="Normal"/>
        <w:framePr w:w="1453" w:hAnchor="page" w:vAnchor="page" w:x="6059"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Date Exercisable and</w:t>
      </w:r>
    </w:p>
    <w:p>
      <w:pPr>
        <w:pStyle w:val="Normal"/>
        <w:framePr w:w="1974" w:hAnchor="page" w:vAnchor="page" w:x="734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Title and Amount of Securities</w:t>
      </w:r>
    </w:p>
    <w:p>
      <w:pPr>
        <w:pStyle w:val="Normal"/>
        <w:framePr w:w="690" w:hAnchor="page" w:vAnchor="page" w:x="9086"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8. Price of</w:t>
      </w:r>
    </w:p>
    <w:p>
      <w:pPr>
        <w:pStyle w:val="Normal"/>
        <w:framePr w:w="849" w:hAnchor="page" w:vAnchor="page" w:x="977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9. Number of</w:t>
      </w:r>
    </w:p>
    <w:p>
      <w:pPr>
        <w:pStyle w:val="Normal"/>
        <w:framePr w:w="286" w:hAnchor="page" w:vAnchor="page" w:x="10567"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10.</w:t>
      </w:r>
    </w:p>
    <w:p>
      <w:pPr>
        <w:pStyle w:val="Normal"/>
        <w:framePr w:w="836" w:hAnchor="page" w:vAnchor="page" w:x="1125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11. Nature of</w:t>
      </w:r>
    </w:p>
    <w:p>
      <w:pPr>
        <w:pStyle w:val="Normal"/>
        <w:framePr w:w="4918" w:hAnchor="page" w:vAnchor="page" w:x="4141" w:y="6339"/>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(e.g., puts, calls, warrants, options, convertible securities)</w:t>
      </w:r>
    </w:p>
    <w:p>
      <w:pPr>
        <w:pStyle w:val="Normal"/>
        <w:framePr w:w="6620" w:hAnchor="page" w:vAnchor="page" w:x="3535" w:y="6174"/>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II - Derivative Securities Acquired, Disposed of, or Beneficially Owned</w:t>
      </w:r>
    </w:p>
    <w:p>
      <w:pPr>
        <w:pStyle w:val="Normal"/>
        <w:framePr w:w="1293" w:hAnchor="page" w:vAnchor="page" w:x="315"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5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02/20/2024</w:t>
      </w:r>
    </w:p>
    <w:p>
      <w:pPr>
        <w:pStyle w:val="Normal"/>
        <w:framePr w:w="228" w:hAnchor="page" w:vAnchor="page" w:x="6163" w:y="588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654" w:hAnchor="page" w:vAnchor="page" w:x="7009"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9,381</w:t>
      </w:r>
      <w:r>
        <w:rPr>
          <w:rFonts w:ascii="TimesNewRomanPSMT" w:hAnsi="TimesNewRomanPSMT" w:fareast="TimesNewRomanPSMT" w:cs="TimesNewRomanPSMT"/>
          <w:color w:val="008000"/>
          <w:w w:val="100"/>
          <w:sz w:val="9"/>
          <w:szCs w:val="9"/>
        </w:rPr>
        <w:t>(1)</w:t>
      </w:r>
    </w:p>
    <w:p>
      <w:pPr>
        <w:pStyle w:val="Normal"/>
        <w:framePr w:w="292" w:hAnchor="page" w:vAnchor="page" w:x="790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350" w:hAnchor="page" w:vAnchor="page" w:x="8497" w:y="5864"/>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642" w:hAnchor="page" w:vAnchor="page" w:x="9336"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66,009</w:t>
      </w:r>
    </w:p>
    <w:p>
      <w:pPr>
        <w:pStyle w:val="Normal"/>
        <w:framePr w:w="292" w:hAnchor="page" w:vAnchor="page" w:x="10614"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418" w:hAnchor="page" w:vAnchor="page" w:x="6026"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6490"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571" w:hAnchor="page" w:vAnchor="page" w:x="6833"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w:t>
      </w:r>
    </w:p>
    <w:p>
      <w:pPr>
        <w:pStyle w:val="Normal"/>
        <w:framePr w:w="637" w:hAnchor="page" w:vAnchor="page" w:x="7727"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w:t>
      </w:r>
    </w:p>
    <w:p>
      <w:pPr>
        <w:pStyle w:val="Normal"/>
        <w:framePr w:w="412" w:hAnchor="page" w:vAnchor="page" w:x="8291"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w:t>
      </w:r>
    </w:p>
    <w:p>
      <w:pPr>
        <w:pStyle w:val="Normal"/>
        <w:framePr w:w="471" w:hAnchor="page" w:vAnchor="page" w:x="8965"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and 4)</w:t>
      </w:r>
    </w:p>
    <w:p>
      <w:pPr>
        <w:pStyle w:val="Normal"/>
        <w:framePr w:w="584" w:hAnchor="page" w:vAnchor="page" w:x="11229"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095" w:hAnchor="page" w:vAnchor="page" w:x="5098"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393" w:hAnchor="page" w:vAnchor="page" w:x="8965"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 (Instr. 3</w:t>
      </w:r>
    </w:p>
    <w:p>
      <w:pPr>
        <w:pStyle w:val="Normal"/>
        <w:framePr w:w="737" w:hAnchor="page" w:vAnchor="page" w:x="11229"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1095" w:hAnchor="page" w:vAnchor="page" w:x="4170"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5098"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33" w:hAnchor="page" w:vAnchor="page" w:x="8965"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 Reported</w:t>
      </w:r>
    </w:p>
    <w:p>
      <w:pPr>
        <w:pStyle w:val="Normal"/>
        <w:framePr w:w="1194" w:hAnchor="page" w:vAnchor="page" w:x="10213"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 (Instr. 4)</w:t>
      </w:r>
    </w:p>
    <w:p>
      <w:pPr>
        <w:pStyle w:val="Normal"/>
        <w:framePr w:w="684" w:hAnchor="page" w:vAnchor="page" w:x="1122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379" w:hAnchor="page" w:vAnchor="page" w:x="4170"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5098"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602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1260" w:hAnchor="page" w:vAnchor="page" w:x="683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 5)</w:t>
      </w:r>
    </w:p>
    <w:p>
      <w:pPr>
        <w:pStyle w:val="Normal"/>
        <w:framePr w:w="1386" w:hAnchor="page" w:vAnchor="page" w:x="8965"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 Owned</w:t>
      </w:r>
    </w:p>
    <w:p>
      <w:pPr>
        <w:pStyle w:val="Normal"/>
        <w:framePr w:w="1181" w:hAnchor="page" w:vAnchor="page" w:x="1021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 or</w:t>
      </w:r>
    </w:p>
    <w:p>
      <w:pPr>
        <w:pStyle w:val="Normal"/>
        <w:framePr w:w="551" w:hAnchor="page" w:vAnchor="page" w:x="1122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2023" w:hAnchor="page" w:vAnchor="page" w:x="315" w:y="519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Security (Instr. 3)</w:t>
      </w:r>
    </w:p>
    <w:p>
      <w:pPr>
        <w:pStyle w:val="Normal"/>
        <w:framePr w:w="922" w:hAnchor="page" w:vAnchor="page" w:x="4170"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Transaction</w:t>
      </w:r>
    </w:p>
    <w:p>
      <w:pPr>
        <w:pStyle w:val="Normal"/>
        <w:framePr w:w="803" w:hAnchor="page" w:vAnchor="page" w:x="5098"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2A. Deemed</w:t>
      </w:r>
    </w:p>
    <w:p>
      <w:pPr>
        <w:pStyle w:val="Normal"/>
        <w:framePr w:w="922" w:hAnchor="page" w:vAnchor="page" w:x="602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2460" w:hAnchor="page" w:vAnchor="page" w:x="683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Securities Acquired (A) or Disposed Of</w:t>
      </w:r>
    </w:p>
    <w:p>
      <w:pPr>
        <w:pStyle w:val="Normal"/>
        <w:framePr w:w="1452" w:hAnchor="page" w:vAnchor="page" w:x="8965"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Amount of Securities</w:t>
      </w:r>
    </w:p>
    <w:p>
      <w:pPr>
        <w:pStyle w:val="Normal"/>
        <w:framePr w:w="869" w:hAnchor="page" w:vAnchor="page" w:x="1021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Ownership</w:t>
      </w:r>
    </w:p>
    <w:p>
      <w:pPr>
        <w:pStyle w:val="Normal"/>
        <w:framePr w:w="776" w:hAnchor="page" w:vAnchor="page" w:x="1122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Nature of</w:t>
      </w:r>
    </w:p>
    <w:p>
      <w:pPr>
        <w:pStyle w:val="Normal"/>
        <w:framePr w:w="6964" w:hAnchor="page" w:vAnchor="page" w:x="3392" w:y="492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 - Non-Derivative Securities Acquired, Disposed of, or Beneficially Owned</w:t>
      </w:r>
    </w:p>
    <w:p>
      <w:pPr>
        <w:pStyle w:val="Normal"/>
        <w:framePr w:w="647" w:hAnchor="page" w:vAnchor="page" w:x="34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(City)</w:t>
      </w:r>
    </w:p>
    <w:p>
      <w:pPr>
        <w:pStyle w:val="Normal"/>
        <w:framePr w:w="530" w:hAnchor="page" w:vAnchor="page" w:x="1662"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w:t>
      </w:r>
    </w:p>
    <w:p>
      <w:pPr>
        <w:pStyle w:val="Normal"/>
        <w:framePr w:w="404" w:hAnchor="page" w:vAnchor="page" w:x="298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(Zip)</w:t>
      </w:r>
    </w:p>
    <w:p>
      <w:pPr>
        <w:pStyle w:val="Normal"/>
        <w:framePr w:w="3087" w:hAnchor="page" w:vAnchor="page" w:x="9075" w:y="424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More than One Reporting Person</w:t>
      </w:r>
    </w:p>
    <w:p>
      <w:pPr>
        <w:pStyle w:val="Normal"/>
        <w:framePr w:w="1140" w:hAnchor="page" w:vAnchor="page" w:x="348" w:y="41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UPON TYNE</w:t>
      </w:r>
    </w:p>
    <w:p>
      <w:pPr>
        <w:pStyle w:val="Normal"/>
        <w:framePr w:w="379" w:hAnchor="page" w:vAnchor="page" w:x="1662"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X0</w:t>
      </w:r>
    </w:p>
    <w:p>
      <w:pPr>
        <w:pStyle w:val="Normal"/>
        <w:framePr w:w="814" w:hAnchor="page" w:vAnchor="page" w:x="2988"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NE6 3PL</w:t>
      </w:r>
    </w:p>
    <w:p>
      <w:pPr>
        <w:pStyle w:val="Normal"/>
        <w:framePr w:w="1211" w:hAnchor="page" w:vAnchor="page" w:x="348" w:y="4022"/>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NEWCASTLE</w:t>
      </w:r>
    </w:p>
    <w:p>
      <w:pPr>
        <w:pStyle w:val="Normal"/>
        <w:framePr w:w="292" w:hAnchor="page" w:vAnchor="page" w:x="8736" w:y="403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453" w:hAnchor="page" w:vAnchor="page" w:x="9075" w:y="405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One Reporting Person</w:t>
      </w:r>
    </w:p>
    <w:p>
      <w:pPr>
        <w:pStyle w:val="Normal"/>
        <w:framePr w:w="574" w:hAnchor="page" w:vAnchor="page" w:x="315" w:y="386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(Street)</w:t>
      </w:r>
    </w:p>
    <w:p>
      <w:pPr>
        <w:pStyle w:val="Normal"/>
        <w:framePr w:w="3494" w:hAnchor="page" w:vAnchor="page" w:x="4413" w:y="387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4. If Amendment, Date of Original Filed (Month/Day/Year)</w:t>
      </w:r>
    </w:p>
    <w:p>
      <w:pPr>
        <w:pStyle w:val="Normal"/>
        <w:framePr w:w="3507" w:hAnchor="page" w:vAnchor="page" w:x="8512" w:y="387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6. Individual or Joint/Group Filing (Check Applicable Line)</w:t>
      </w:r>
    </w:p>
    <w:p>
      <w:pPr>
        <w:pStyle w:val="Normal"/>
        <w:framePr w:w="3366" w:hAnchor="page" w:vAnchor="page" w:x="348" w:y="345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HADRIAN HOUSE, WINCOMBLEE ROAD</w:t>
      </w:r>
    </w:p>
    <w:p>
      <w:pPr>
        <w:pStyle w:val="Normal"/>
        <w:framePr w:w="953" w:hAnchor="page" w:vAnchor="page" w:x="4413" w:y="327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02/20/2024</w:t>
      </w:r>
    </w:p>
    <w:p>
      <w:pPr>
        <w:pStyle w:val="Normal"/>
        <w:framePr w:w="1949" w:hAnchor="page" w:vAnchor="page" w:x="348" w:y="323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C/O TECHNIPFMC PLC</w:t>
      </w:r>
    </w:p>
    <w:p>
      <w:pPr>
        <w:pStyle w:val="Normal"/>
        <w:framePr w:w="2981" w:hAnchor="page" w:vAnchor="page" w:x="4413" w:y="31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3. Date of Earliest Transaction (Month/Day/Year)</w:t>
      </w:r>
    </w:p>
    <w:p>
      <w:pPr>
        <w:pStyle w:val="Normal"/>
        <w:framePr w:w="471" w:hAnchor="page" w:vAnchor="page" w:x="34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(Last)</w:t>
      </w:r>
    </w:p>
    <w:p>
      <w:pPr>
        <w:pStyle w:val="Normal"/>
        <w:framePr w:w="478" w:hAnchor="page" w:vAnchor="page" w:x="1662"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(First)</w:t>
      </w:r>
    </w:p>
    <w:p>
      <w:pPr>
        <w:pStyle w:val="Normal"/>
        <w:framePr w:w="611" w:hAnchor="page" w:vAnchor="page" w:x="298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(Middle)</w:t>
      </w:r>
    </w:p>
    <w:p>
      <w:pPr>
        <w:pStyle w:val="Normal"/>
        <w:framePr w:w="523" w:hAnchor="page" w:vAnchor="page" w:x="9064" w:y="30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below)</w:t>
      </w:r>
    </w:p>
    <w:p>
      <w:pPr>
        <w:pStyle w:val="Normal"/>
        <w:framePr w:w="1583" w:hAnchor="page" w:vAnchor="page" w:x="10765" w:y="29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Other (specify below)</w:t>
      </w:r>
    </w:p>
    <w:p>
      <w:pPr>
        <w:pStyle w:val="Normal"/>
        <w:framePr w:w="1087" w:hAnchor="page" w:vAnchor="page" w:x="9064" w:y="289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Officer (give title</w:t>
      </w:r>
    </w:p>
    <w:p>
      <w:pPr>
        <w:pStyle w:val="Normal"/>
        <w:framePr w:w="292" w:hAnchor="page" w:vAnchor="page" w:x="8731" w:y="267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596" w:hAnchor="page" w:vAnchor="page" w:x="9064" w:y="269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Director</w:t>
      </w:r>
    </w:p>
    <w:p>
      <w:pPr>
        <w:pStyle w:val="Normal"/>
        <w:framePr w:w="825" w:hAnchor="page" w:vAnchor="page" w:x="10765" w:y="269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10% Owner</w:t>
      </w:r>
    </w:p>
    <w:p>
      <w:pPr>
        <w:pStyle w:val="Normal"/>
        <w:framePr w:w="2467" w:hAnchor="page" w:vAnchor="page" w:x="348" w:y="257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ed"/>
          <w:w w:val="100"/>
          <w:sz w:val="18"/>
          <w:szCs w:val="18"/>
        </w:rPr>
      </w:pPr>
      <w:r>
        <w:rPr>
          <w:rFonts w:ascii="TimesNewRomanPSMT" w:hAnsi="TimesNewRomanPSMT" w:fareast="TimesNewRomanPSMT" w:cs="TimesNewRomanPSMT"/>
          <w:color w:val="0000ed"/>
          <w:w w:val="100"/>
          <w:sz w:val="18"/>
          <w:szCs w:val="18"/>
        </w:rPr>
        <w:t>Zurquiyah Rousset Sophie</w:t>
      </w:r>
    </w:p>
    <w:p>
      <w:pPr>
        <w:pStyle w:val="Normal"/>
        <w:framePr w:w="2203" w:hAnchor="page" w:vAnchor="page" w:x="4413" w:y="2512"/>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ed"/>
          <w:w w:val="100"/>
          <w:sz w:val="18"/>
          <w:szCs w:val="18"/>
        </w:rPr>
        <w:t>TechnipFMC plc</w:t>
      </w:r>
      <w:r>
        <w:rPr>
          <w:rFonts w:ascii="TimesNewRomanPSMT" w:hAnsi="TimesNewRomanPSMT" w:fareast="TimesNewRomanPSMT" w:cs="TimesNewRomanPSMT"/>
          <w:color w:val="000000"/>
          <w:w w:val="100"/>
          <w:sz w:val="18"/>
          <w:szCs w:val="18"/>
        </w:rPr>
        <w:t xml:space="preserve"> [ </w:t>
      </w:r>
      <w:r>
        <w:rPr>
          <w:rFonts w:ascii="TimesNewRomanPSMT" w:hAnsi="TimesNewRomanPSMT" w:fareast="TimesNewRomanPSMT" w:cs="TimesNewRomanPSMT"/>
          <w:color w:val="0000ff"/>
          <w:w w:val="100"/>
          <w:sz w:val="14"/>
          <w:szCs w:val="14"/>
        </w:rPr>
        <w:t>FTI</w:t>
      </w:r>
      <w:r>
        <w:rPr>
          <w:rFonts w:ascii="TimesNewRomanPSMT" w:hAnsi="TimesNewRomanPSMT" w:fareast="TimesNewRomanPSMT" w:cs="TimesNewRomanPSMT"/>
          <w:color w:val="000000"/>
          <w:w w:val="100"/>
          <w:sz w:val="18"/>
          <w:szCs w:val="18"/>
        </w:rPr>
        <w:t xml:space="preserve"> ]</w:t>
      </w:r>
    </w:p>
    <w:p>
      <w:pPr>
        <w:pStyle w:val="Normal"/>
        <w:framePr w:w="1399" w:hAnchor="page" w:vAnchor="page" w:x="8512" w:y="2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(Check all applicable)</w:t>
      </w:r>
    </w:p>
    <w:p>
      <w:pPr>
        <w:pStyle w:val="Normal"/>
        <w:framePr w:w="2661" w:hAnchor="page" w:vAnchor="page" w:x="315" w:y="2398"/>
        <w:widowControl w:val="off"/>
        <w:autoSpaceDE w:val="off"/>
        <w:autoSpaceDN w:val="off"/>
        <w:spacing w:before="0" w:after="0" w:line="123"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11"/>
          <w:szCs w:val="11"/>
        </w:rPr>
        <w:t>1. Name and Address of Reporting Person</w:t>
      </w:r>
      <w:r>
        <w:rPr>
          <w:rFonts w:ascii="ArialMT" w:hAnsi="ArialMT" w:fareast="ArialMT" w:cs="ArialMT"/>
          <w:color w:val="000000"/>
          <w:w w:val="100"/>
          <w:sz w:val="9"/>
          <w:szCs w:val="9"/>
        </w:rPr>
        <w:t>*</w:t>
      </w:r>
    </w:p>
    <w:p>
      <w:pPr>
        <w:pStyle w:val="Normal"/>
        <w:framePr w:w="3010" w:hAnchor="page" w:vAnchor="page" w:x="4413"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2. Issuer Name </w:t>
      </w:r>
      <w:r>
        <w:rPr>
          <w:rFonts w:ascii="Arial-BoldMT" w:hAnsi="Arial-BoldMT" w:fareast="Arial-BoldMT" w:cs="Arial-BoldMT"/>
          <w:color w:val="000000"/>
          <w:w w:val="100"/>
          <w:sz w:val="11"/>
          <w:szCs w:val="11"/>
        </w:rPr>
        <w:t>and</w:t>
      </w:r>
      <w:r>
        <w:rPr>
          <w:rFonts w:ascii="ArialMT" w:hAnsi="ArialMT" w:fareast="ArialMT" w:cs="ArialMT"/>
          <w:color w:val="000000"/>
          <w:w w:val="100"/>
          <w:sz w:val="11"/>
          <w:szCs w:val="11"/>
        </w:rPr>
        <w:t xml:space="preserve"> Ticker or Trading Symbol</w:t>
      </w:r>
    </w:p>
    <w:p>
      <w:pPr>
        <w:pStyle w:val="Normal"/>
        <w:framePr w:w="2960" w:hAnchor="page" w:vAnchor="page" w:x="8512"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5. Relationship of Reporting Person(s) to Issuer </w:t>
      </w:r>
    </w:p>
    <w:p>
      <w:pPr>
        <w:pStyle w:val="Normal"/>
        <w:framePr w:w="1387" w:hAnchor="page" w:vAnchor="page" w:x="514" w:y="217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1(c). See Instruction 10.</w:t>
      </w:r>
    </w:p>
    <w:p>
      <w:pPr>
        <w:pStyle w:val="Normal"/>
        <w:framePr w:w="2645" w:hAnchor="page" w:vAnchor="page" w:x="514" w:y="206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the affirmative defense conditions of Rule 10b5-</w:t>
      </w:r>
    </w:p>
    <w:p>
      <w:pPr>
        <w:pStyle w:val="Normal"/>
        <w:framePr w:w="2832" w:hAnchor="page" w:vAnchor="page" w:x="514" w:y="195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securities of the issuer that is intended to satisfy</w:t>
      </w:r>
    </w:p>
    <w:p>
      <w:pPr>
        <w:pStyle w:val="Normal"/>
        <w:framePr w:w="322" w:hAnchor="page" w:vAnchor="page" w:x="315" w:y="184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680" w:hAnchor="page" w:vAnchor="page" w:x="514" w:y="183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written plan for the purchase or sale of equity</w:t>
      </w:r>
    </w:p>
    <w:p>
      <w:pPr>
        <w:pStyle w:val="Normal"/>
        <w:framePr w:w="2355" w:hAnchor="page" w:vAnchor="page" w:x="514" w:y="172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made pursuant to a contract, instruction or</w:t>
      </w:r>
    </w:p>
    <w:p>
      <w:pPr>
        <w:pStyle w:val="Normal"/>
        <w:framePr w:w="2673" w:hAnchor="page" w:vAnchor="page" w:x="514" w:y="1618"/>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to indicate that a transaction was</w:t>
      </w:r>
    </w:p>
    <w:p>
      <w:pPr>
        <w:pStyle w:val="Normal"/>
        <w:framePr w:w="3639" w:hAnchor="page" w:vAnchor="page" w:x="4824" w:y="140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or Section 30(h) of the Investment Company Act of 1940</w:t>
      </w:r>
    </w:p>
    <w:p>
      <w:pPr>
        <w:pStyle w:val="Normal"/>
        <w:framePr w:w="949" w:hAnchor="page" w:vAnchor="page" w:x="514" w:y="126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Instruction 1(b).</w:t>
      </w:r>
    </w:p>
    <w:p>
      <w:pPr>
        <w:pStyle w:val="Normal"/>
        <w:framePr w:w="4266" w:hAnchor="page" w:vAnchor="page" w:x="4480" w:y="128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Filed pursuant to Section 16(a) of the Securities Exchange Act of 1934</w:t>
      </w:r>
    </w:p>
    <w:p>
      <w:pPr>
        <w:pStyle w:val="Normal"/>
        <w:framePr w:w="322" w:hAnchor="page" w:vAnchor="page" w:x="315" w:y="110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852" w:hAnchor="page" w:vAnchor="page" w:x="514" w:y="1154"/>
        <w:widowControl w:val="off"/>
        <w:autoSpaceDE w:val="off"/>
        <w:autoSpaceDN w:val="off"/>
        <w:spacing w:before="0" w:after="0" w:line="111" w:lineRule="exact"/>
        <w:ind w:left="0" w:right="0" w:first-line="0"/>
        <w:jc w:val="left"/>
        <w:rPr>
          <w:rFonts w:ascii="Arial-ItalicMT" w:hAnsi="Arial-ItalicMT" w:fareast="Arial-ItalicMT" w:cs="Arial-ItalicMT"/>
          <w:color w:val="000000"/>
          <w:w w:val="100"/>
          <w:sz w:val="10"/>
          <w:szCs w:val="10"/>
        </w:rPr>
      </w:pPr>
      <w:r>
        <w:rPr>
          <w:rFonts w:ascii="ArialMT" w:hAnsi="ArialMT" w:fareast="ArialMT" w:cs="ArialMT"/>
          <w:color w:val="000000"/>
          <w:w w:val="100"/>
          <w:sz w:val="10"/>
          <w:szCs w:val="10"/>
        </w:rPr>
        <w:t xml:space="preserve">Form 4 or Form 5 obligations may continue. </w:t>
      </w:r>
      <w:r>
        <w:rPr>
          <w:rFonts w:ascii="Arial-ItalicMT" w:hAnsi="Arial-ItalicMT" w:fareast="Arial-ItalicMT" w:cs="Arial-ItalicMT"/>
          <w:color w:val="000000"/>
          <w:w w:val="100"/>
          <w:sz w:val="10"/>
          <w:szCs w:val="10"/>
        </w:rPr>
        <w:t>See</w:t>
      </w:r>
    </w:p>
    <w:p>
      <w:pPr>
        <w:pStyle w:val="Normal"/>
        <w:framePr w:w="2700" w:hAnchor="page" w:vAnchor="page" w:x="514" w:y="1044"/>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if no longer subject to Section 16.</w:t>
      </w:r>
    </w:p>
    <w:p>
      <w:pPr>
        <w:pStyle w:val="Normal"/>
        <w:framePr w:w="1181" w:hAnchor="page" w:vAnchor="page" w:x="9804"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hours per response:</w:t>
      </w:r>
    </w:p>
    <w:p>
      <w:pPr>
        <w:pStyle w:val="Normal"/>
        <w:framePr w:w="286" w:hAnchor="page" w:vAnchor="page" w:x="11721"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0.5</w:t>
      </w:r>
    </w:p>
    <w:p>
      <w:pPr>
        <w:pStyle w:val="Normal"/>
        <w:framePr w:w="5923" w:hAnchor="page" w:vAnchor="page" w:x="3825" w:y="885"/>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STATEMENT OF CHANGES IN BENEFICIAL OWNERSHIP</w:t>
      </w:r>
    </w:p>
    <w:p>
      <w:pPr>
        <w:pStyle w:val="Normal"/>
        <w:framePr w:w="1519" w:hAnchor="page" w:vAnchor="page" w:x="9804" w:y="84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Estimated average burden</w:t>
      </w:r>
    </w:p>
    <w:p>
      <w:pPr>
        <w:pStyle w:val="Normal"/>
        <w:framePr w:w="882" w:hAnchor="page" w:vAnchor="page" w:x="980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OMB Number:</w:t>
      </w:r>
    </w:p>
    <w:p>
      <w:pPr>
        <w:pStyle w:val="Normal"/>
        <w:framePr w:w="691" w:hAnchor="page" w:vAnchor="page" w:x="1138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3235-0287</w:t>
      </w:r>
    </w:p>
    <w:p>
      <w:pPr>
        <w:pStyle w:val="Normal"/>
        <w:framePr w:w="1571" w:hAnchor="page" w:vAnchor="page" w:x="5603" w:y="5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Washington, D.C. 20549</w:t>
      </w:r>
    </w:p>
    <w:p>
      <w:pPr>
        <w:pStyle w:val="Normal"/>
        <w:framePr w:w="1525" w:hAnchor="page" w:vAnchor="page" w:x="10266" w:y="429"/>
        <w:widowControl w:val="off"/>
        <w:autoSpaceDE w:val="off"/>
        <w:autoSpaceDN w:val="off"/>
        <w:spacing w:before="0" w:after="0" w:line="160"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OMB APPROVAL</w:t>
      </w:r>
    </w:p>
    <w:p>
      <w:pPr>
        <w:pStyle w:val="Normal"/>
        <w:framePr w:w="1141" w:hAnchor="page" w:vAnchor="page" w:x="1116" w:y="368"/>
        <w:widowControl w:val="off"/>
        <w:autoSpaceDE w:val="off"/>
        <w:autoSpaceDN w:val="off"/>
        <w:spacing w:before="0" w:after="0" w:line="222" w:lineRule="exact"/>
        <w:ind w:left="0" w:right="0" w:first-line="0"/>
        <w:jc w:val="left"/>
        <w:rPr>
          <w:rFonts w:ascii="Arial-BoldMT" w:hAnsi="Arial-BoldMT" w:fareast="Arial-BoldMT" w:cs="Arial-BoldMT"/>
          <w:color w:val="000000"/>
          <w:w w:val="100"/>
          <w:sz w:val="20"/>
          <w:szCs w:val="20"/>
        </w:rPr>
      </w:pPr>
      <w:r>
        <w:rPr>
          <w:rFonts w:ascii="Arial-BoldMT" w:hAnsi="Arial-BoldMT" w:fareast="Arial-BoldMT" w:cs="Arial-BoldMT"/>
          <w:color w:val="000000"/>
          <w:w w:val="100"/>
          <w:sz w:val="20"/>
          <w:szCs w:val="20"/>
        </w:rPr>
        <w:t>FORM 4</w:t>
      </w:r>
    </w:p>
    <w:p>
      <w:pPr>
        <w:pStyle w:val="Normal"/>
        <w:framePr w:w="6430" w:hAnchor="page" w:vAnchor="page" w:x="3613" w:y="366"/>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UNITED STATES SECURITIES AND EXCHANGE COMMISSION</w:t>
      </w:r>
    </w:p>
    <w:p>
      <w:pPr>
        <w:pStyle w:val="Normal"/>
        <w:framePr w:w="1277" w:hAnchor="page" w:vAnchor="page" w:x="248" w:y="126"/>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SEC Form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8pt;margin-top:17.55pt;z-index:-1677720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8pt;margin-top:58.45pt;z-index:-16777204;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5.8pt;margin-top:17.55pt;z-index:-16777200;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8pt;margin-top:17.55pt;z-index:-16777196;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45pt;margin-top:19.25pt;z-index:-1677719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45pt;margin-top:29.15pt;z-index:-16777188;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4.15pt;margin-top:19.25pt;z-index:-16777184;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45pt;margin-top:19.25pt;z-index:-16777180;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45pt;margin-top:30.85pt;z-index:-1677717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45pt;margin-top:56.8pt;z-index:-1677717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4.15pt;margin-top:30.85pt;z-index:-16777168;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45pt;margin-top:30.85pt;z-index:-16777164;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3.65pt;margin-top:53.45pt;z-index:-16777160;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3.65pt;margin-top:65.05pt;z-index:-16777156;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19.7pt;margin-top:53.45pt;z-index:-16777152;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3.65pt;margin-top:53.45pt;z-index:-16777148;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4.2pt;margin-top:54.05pt;z-index:-16777144;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4.2pt;margin-top:64.5pt;z-index:-16777140;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19.15pt;margin-top:54.05pt;z-index:-1677713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4.2pt;margin-top:54.05pt;z-index:-16777132;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3.65pt;margin-top:90.5pt;z-index:-16777128;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3.65pt;margin-top:102.1pt;z-index:-16777124;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19.7pt;margin-top:90.5pt;z-index:-16777120;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3.65pt;margin-top:90.5pt;z-index:-16777116;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4.2pt;margin-top:91.05pt;z-index:-16777112;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4.2pt;margin-top:101.55pt;z-index:-16777108;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19.15pt;margin-top:91.05pt;z-index:-16777104;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4.2pt;margin-top:91.05pt;z-index:-16777100;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1.4pt;margin-top:115.35pt;z-index:-1677709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1.4pt;margin-top:241.3pt;z-index:-1677709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8.05pt;margin-top:115.35pt;z-index:-16777088;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1.4pt;margin-top:115.35pt;z-index:-16777084;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1.95pt;margin-top:115.9pt;z-index:-167770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1.95pt;margin-top:240.75pt;z-index:-1677707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35pt;margin-top:115.9pt;z-index:-1677707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1.95pt;margin-top:115.9pt;z-index:-16777068;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6.4pt;margin-top:144.05pt;z-index:-1677706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6.4pt;margin-top:144.6pt;z-index:-16777060;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95pt;margin-top:144.05pt;z-index:-1677705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6.4pt;margin-top:144.05pt;z-index:-16777052;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6.4pt;margin-top:186.6pt;z-index:-1677704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6.4pt;margin-top:187.15pt;z-index:-1677704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95pt;margin-top:186.6pt;z-index:-1677704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6.4pt;margin-top:186.6pt;z-index:-1677703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6.4pt;margin-top:223.6pt;z-index:-16777032;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6.4pt;margin-top:224.15pt;z-index:-1677702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95pt;margin-top:223.6pt;z-index:-1677702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6.4pt;margin-top:223.6pt;z-index:-1677702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6.9pt;margin-top:115.9pt;z-index:-1677701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6.9pt;margin-top:152.9pt;z-index:-16777012;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1.25pt;margin-top:115.9pt;z-index:-16777008;width:2.55pt;height:39.55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6.9pt;margin-top:115.9pt;z-index:-16777004;width:2.55pt;height:39.55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8pt;margin-top:115.9pt;z-index:-16777000;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8pt;margin-top:189.35pt;z-index:-16776996;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7.5pt;margin-top:115.9pt;z-index:-16776992;width:2.55pt;height:76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8pt;margin-top:115.9pt;z-index:-16776988;width:2.55pt;height:76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6.9pt;margin-top:153.45pt;z-index:-1677698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6.9pt;margin-top:189.35pt;z-index:-167769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1.25pt;margin-top:153.45pt;z-index:-16776976;width:2.55pt;height:38.4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6.9pt;margin-top:153.45pt;z-index:-16776972;width:2.55pt;height:38.4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6.9pt;margin-top:189.9pt;z-index:-16776968;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6.9pt;margin-top:240.75pt;z-index:-1677696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1.25pt;margin-top:189.9pt;z-index:-16776960;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6.9pt;margin-top:189.9pt;z-index:-16776956;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8pt;margin-top:189.9pt;z-index:-16776952;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8pt;margin-top:240.75pt;z-index:-16776948;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7.5pt;margin-top:189.9pt;z-index:-16776944;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8pt;margin-top:189.9pt;z-index:-16776940;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1.4pt;margin-top:241.85pt;z-index:-1677693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1.4pt;margin-top:303.7pt;z-index:-1677693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8.05pt;margin-top:241.85pt;z-index:-16776928;width:2.55pt;height:64.4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1.4pt;margin-top:241.85pt;z-index:-16776924;width:2.55pt;height:64.4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1.95pt;margin-top:242.4pt;z-index:-1677692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1.95pt;margin-top:255.65pt;z-index:-1677691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7.5pt;margin-top:242.4pt;z-index:-16776912;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1.95pt;margin-top:242.4pt;z-index:-16776908;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95pt;margin-top:256.2pt;z-index:-16776904;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95pt;margin-top:288.8pt;z-index:-16776900;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04.2pt;margin-top:256.2pt;z-index:-167768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95pt;margin-top:256.2pt;z-index:-1677689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04.75pt;margin-top:256.2pt;z-index:-167768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04.75pt;margin-top:288.8pt;z-index:-167768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50.6pt;margin-top:256.2pt;z-index:-167768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04.75pt;margin-top:256.2pt;z-index:-1677687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51.15pt;margin-top:256.2pt;z-index:-167768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51.15pt;margin-top:288.8pt;z-index:-1677686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7pt;margin-top:256.2pt;z-index:-1677686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51.15pt;margin-top:256.2pt;z-index:-1677686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7.55pt;margin-top:256.2pt;z-index:-167768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7.55pt;margin-top:275.5pt;z-index:-1677685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7.3pt;margin-top:256.2pt;z-index:-1677684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7.55pt;margin-top:256.2pt;z-index:-16776844;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7.85pt;margin-top:256.2pt;z-index:-16776840;width:108.6pt;height:2.5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7.85pt;margin-top:275.5pt;z-index:-16776836;width:108.6pt;height:2.5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3.9pt;margin-top:256.2pt;z-index:-16776832;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7.85pt;margin-top:256.2pt;z-index:-1677682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4.45pt;margin-top:256.2pt;z-index:-16776824;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4.45pt;margin-top:288.8pt;z-index:-16776820;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35pt;margin-top:256.2pt;z-index:-1677681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4.45pt;margin-top:256.2pt;z-index:-1677681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6.9pt;margin-top:256.2pt;z-index:-1677680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6.9pt;margin-top:288.8pt;z-index:-1677680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7.15pt;margin-top:256.2pt;z-index:-1677680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6.9pt;margin-top:256.2pt;z-index:-167767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7.7pt;margin-top:256.2pt;z-index:-1677679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7.7pt;margin-top:288.8pt;z-index:-1677678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7.5pt;margin-top:256.2pt;z-index:-1677678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7.7pt;margin-top:256.2pt;z-index:-167767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7.55pt;margin-top:276.1pt;z-index:-1677677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7.55pt;margin-top:288.8pt;z-index:-167767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20.2pt;margin-top:276.1pt;z-index:-1677676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7.55pt;margin-top:276.1pt;z-index:-1677676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0.75pt;margin-top:276.1pt;z-index:-1677676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0.75pt;margin-top:288.8pt;z-index:-167767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7.3pt;margin-top:276.1pt;z-index:-1677675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0.75pt;margin-top:276.1pt;z-index:-1677674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7.85pt;margin-top:276.1pt;z-index:-16776744;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7.85pt;margin-top:288.8pt;z-index:-16776740;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2.05pt;margin-top:276.1pt;z-index:-1677673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7.85pt;margin-top:276.1pt;z-index:-1677673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2.6pt;margin-top:276.1pt;z-index:-1677672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2.6pt;margin-top:288.8pt;z-index:-167767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25pt;margin-top:276.1pt;z-index:-1677672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2.6pt;margin-top:276.1pt;z-index:-1677671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0.8pt;margin-top:276.1pt;z-index:-1677671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0.8pt;margin-top:288.8pt;z-index:-1677670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3.9pt;margin-top:276.1pt;z-index:-1677670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0.8pt;margin-top:276.1pt;z-index:-1677670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1.95pt;margin-top:289.35pt;z-index:-16776696;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1.95pt;margin-top:303.15pt;z-index:-16776692;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04.2pt;margin-top:289.35pt;z-index:-167766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1.95pt;margin-top:289.35pt;z-index:-167766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04.75pt;margin-top:289.35pt;z-index:-167766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04.75pt;margin-top:303.15pt;z-index:-167766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50.6pt;margin-top:289.35pt;z-index:-167766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04.75pt;margin-top:289.35pt;z-index:-167766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51.15pt;margin-top:289.35pt;z-index:-167766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51.15pt;margin-top:303.15pt;z-index:-167766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7pt;margin-top:289.35pt;z-index:-167766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51.15pt;margin-top:289.35pt;z-index:-167766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7.55pt;margin-top:289.35pt;z-index:-1677664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7.55pt;margin-top:303.15pt;z-index:-16776644;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20.2pt;margin-top:289.35pt;z-index:-167766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7.55pt;margin-top:289.35pt;z-index:-167766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0.75pt;margin-top:289.35pt;z-index:-1677663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0.75pt;margin-top:303.15pt;z-index:-16776628;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7.3pt;margin-top:289.35pt;z-index:-167766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0.75pt;margin-top:289.35pt;z-index:-167766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7.85pt;margin-top:289.35pt;z-index:-16776616;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7.85pt;margin-top:303.15pt;z-index:-16776612;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2.05pt;margin-top:289.35pt;z-index:-167766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7.85pt;margin-top:289.35pt;z-index:-167766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2.6pt;margin-top:289.35pt;z-index:-1677660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2.6pt;margin-top:303.15pt;z-index:-16776596;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25pt;margin-top:289.35pt;z-index:-167765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2.6pt;margin-top:289.35pt;z-index:-167765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0.8pt;margin-top:289.35pt;z-index:-16776584;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0.8pt;margin-top:303.15pt;z-index:-16776580;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3.9pt;margin-top:289.35pt;z-index:-167765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0.8pt;margin-top:289.35pt;z-index:-167765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4.45pt;margin-top:289.35pt;z-index:-16776568;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4.45pt;margin-top:303.15pt;z-index:-16776564;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35pt;margin-top:289.35pt;z-index:-167765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4.45pt;margin-top:289.35pt;z-index:-167765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6.9pt;margin-top:289.35pt;z-index:-1677655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6.9pt;margin-top:303.15pt;z-index:-167765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7.15pt;margin-top:289.35pt;z-index:-167765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6.9pt;margin-top:289.35pt;z-index:-167765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7.7pt;margin-top:289.35pt;z-index:-1677653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7.7pt;margin-top:303.15pt;z-index:-1677653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7.5pt;margin-top:289.35pt;z-index:-167765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7.7pt;margin-top:289.35pt;z-index:-167765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1.4pt;margin-top:304.25pt;z-index:-16776520;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1.4pt;margin-top:387.65pt;z-index:-1677651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598.05pt;margin-top:304.25pt;z-index:-16776512;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1.4pt;margin-top:304.25pt;z-index:-16776508;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1.95pt;margin-top:304.8pt;z-index:-16776504;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1.95pt;margin-top:326.35pt;z-index:-1677650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597.5pt;margin-top:304.8pt;z-index:-1677649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1.95pt;margin-top:304.8pt;z-index:-167764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11.95pt;margin-top:326.9pt;z-index:-16776488;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11.95pt;margin-top:387.1pt;z-index:-16776484;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76.05pt;margin-top:326.9pt;z-index:-1677648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11.95pt;margin-top:326.9pt;z-index:-1677647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76.6pt;margin-top:326.9pt;z-index:-16776472;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76.6pt;margin-top:387.1pt;z-index:-16776468;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109.2pt;margin-top:326.9pt;z-index:-1677646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76.6pt;margin-top:326.9pt;z-index:-1677646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109.75pt;margin-top:326.9pt;z-index:-1677645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109.75pt;margin-top:387.1pt;z-index:-1677645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155.6pt;margin-top:326.9pt;z-index:-167764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109.75pt;margin-top:326.9pt;z-index:-1677644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156.15pt;margin-top:326.9pt;z-index:-1677644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156.15pt;margin-top:387.1pt;z-index:-1677643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202pt;margin-top:326.9pt;z-index:-1677643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156.15pt;margin-top:326.9pt;z-index:-1677642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202.55pt;margin-top:326.9pt;z-index:-16776424;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202.55pt;margin-top:365pt;z-index:-16776420;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246.15pt;margin-top:326.9pt;z-index:-1677641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202.55pt;margin-top:326.9pt;z-index:-1677641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246.75pt;margin-top:326.9pt;z-index:-16776408;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246.75pt;margin-top:365pt;z-index:-16776404;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298.65pt;margin-top:326.9pt;z-index:-1677640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246.75pt;margin-top:326.9pt;z-index:-1677639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299.2pt;margin-top:326.9pt;z-index:-16776392;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299.2pt;margin-top:365pt;z-index:-16776388;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362.7pt;margin-top:326.9pt;z-index:-1677638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299.2pt;margin-top:326.9pt;z-index:-1677638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363.25pt;margin-top:326.9pt;z-index:-16776376;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363.25pt;margin-top:365pt;z-index:-16776372;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450pt;margin-top:326.9pt;z-index:-1677636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363.25pt;margin-top:326.9pt;z-index:-1677636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450.55pt;margin-top:326.9pt;z-index:-1677636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450.55pt;margin-top:387.1pt;z-index:-16776356;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484.25pt;margin-top:326.9pt;z-index:-1677635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450.55pt;margin-top:326.9pt;z-index:-167763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484.8pt;margin-top:326.9pt;z-index:-16776344;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484.8pt;margin-top:387.1pt;z-index:-16776340;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524pt;margin-top:326.9pt;z-index:-1677633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484.8pt;margin-top:326.9pt;z-index:-1677633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524.55pt;margin-top:326.9pt;z-index:-1677632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524.55pt;margin-top:387.1pt;z-index:-1677632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558.25pt;margin-top:326.9pt;z-index:-1677632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524.55pt;margin-top:326.9pt;z-index:-1677631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558.8pt;margin-top:326.9pt;z-index:-16776312;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558.8pt;margin-top:387.1pt;z-index:-16776308;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597.5pt;margin-top:326.9pt;z-index:-1677630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558.8pt;margin-top:326.9pt;z-index:-1677630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02.55pt;margin-top:365.55pt;z-index:-1677629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02.55pt;margin-top:387.1pt;z-index:-16776292;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224.1pt;margin-top:365.55pt;z-index:-167762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02.55pt;margin-top:365.55pt;z-index:-1677628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224.65pt;margin-top:365.55pt;z-index:-1677628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224.65pt;margin-top:387.1pt;z-index:-1677627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246.15pt;margin-top:365.55pt;z-index:-167762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224.65pt;margin-top:365.55pt;z-index:-1677626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246.75pt;margin-top:365.55pt;z-index:-16776264;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246.75pt;margin-top:387.1pt;z-index:-16776260;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272.15pt;margin-top:365.55pt;z-index:-1677625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246.75pt;margin-top:365.55pt;z-index:-1677625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272.7pt;margin-top:365.55pt;z-index:-16776248;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272.7pt;margin-top:387.1pt;z-index:-16776244;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298.65pt;margin-top:365.55pt;z-index:-1677624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272.7pt;margin-top:365.55pt;z-index:-1677623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299.2pt;margin-top:365.55pt;z-index:-1677623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299.2pt;margin-top:387.1pt;z-index:-1677622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332.35pt;margin-top:365.55pt;z-index:-1677622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299.2pt;margin-top:365.55pt;z-index:-167762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332.9pt;margin-top:365.55pt;z-index:-16776216;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332.9pt;margin-top:387.1pt;z-index:-16776212;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362.7pt;margin-top:365.55pt;z-index:-1677620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332.9pt;margin-top:365.55pt;z-index:-1677620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363.25pt;margin-top:365.55pt;z-index:-16776200;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363.25pt;margin-top:387.1pt;z-index:-16776196;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412.45pt;margin-top:365.55pt;z-index:-167761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363.25pt;margin-top:365.55pt;z-index:-167761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413pt;margin-top:365.55pt;z-index:-16776184;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413pt;margin-top:387.1pt;z-index:-16776180;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450pt;margin-top:365.55pt;z-index:-1677617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413pt;margin-top:365.55pt;z-index:-167761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2.5pt;margin-top:397.6pt;z-index:-16776168;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2.5pt;margin-top:416.4pt;z-index:-16776164;width:586.95pt;height:3.1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16.4pt;margin-top:136.35pt;z-index:-16776160;width:95.75pt;height:2.5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6.4pt;margin-top:160.65pt;z-index:-16776156;width:76pt;height:10.3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6.4pt;margin-top:171.7pt;z-index:-16776152;width:135.1pt;height:10.3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6.4pt;margin-top:199.85pt;z-index:-16776148;width:45.65pt;height:10.3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16.4pt;margin-top:208.7pt;z-index:-16776144;width:42.3pt;height:10.3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82.1pt;margin-top:204.25pt;z-index:-16776140;width:10.85pt;height:10.3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48.4pt;margin-top:204.25pt;z-index:-16776136;width:29.05pt;height:10.3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219.65pt;margin-top:133pt;z-index:-16776132;width:62pt;height:2.5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287.05pt;margin-top:125.85pt;z-index:-16776128;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435.65pt;margin-top:132.45pt;z-index:-1677612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219.65pt;margin-top:162.3pt;z-index:-16776120;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435.65pt;margin-top:200.4pt;z-index:-16776116;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14.75pt;margin-top:292.1pt;z-index:-16776112;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211.35pt;margin-top:292.1pt;z-index:-16776108;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306.95pt;margin-top:293.2pt;z-index:-16776104;width:6.4pt;height:8.1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349.45pt;margin-top:292.1pt;z-index:-16776100;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365.5pt;margin-top:293.75pt;z-index:-16776096;width:7.5pt;height:8.1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394.2pt;margin-top:292.1pt;z-index:-16776092;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427.9pt;margin-top:292.1pt;z-index:-16776088;width:5.3pt;height:10.3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466pt;margin-top:292.1pt;z-index:-16776084;width:21.35pt;height:10.3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529.55pt;margin-top:292.1pt;z-index:-16776080;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363.85pt;margin-top:420.25pt;z-index:-16776076;width:100.3pt;height:10.3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363.85pt;margin-top:427.4pt;z-index:-16776072;width:100.35pt;height:2.55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481.5pt;margin-top:420.25pt;z-index:-16776068;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481.5pt;margin-top:427.4pt;z-index:-16776064;width:34.7pt;height:2.5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p>
    <w:p>
      <w:pPr>
        <w:pStyle w:val="Normal"/>
        <w:framePr w:w="13983" w:hAnchor="page" w:vAnchor="page" w:x="431" w:y="1547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TechnipFMC plc LIMITED POWER OF ATTORNEY (For Executing Forms 3, 4 and 5) Know all by these presents, that the undersigned hereby constitutes and appoints each of Cristina Aalders, Kathleen Gehlhausen, Olivia Reed, and Lisa Wang, signing singly, and with full power of substitution, the undersigned’s true and lawful attorney-in-fact to: 1. Execute for and on behalf of the undersigned, in the undersigned’s capacity as an officer or director, or both, of TechnipFMC plc (the “Company”), Forms 3, 4 and 5 in accordance with Section 16(a) of the U.S. Securities Exchange Act of 1934 (the “Exchange Act”), as amended, and the rules thereunder; 2. Do and perform any and all acts for and on behalf of the undersigned that may be necessary or desirable to complete and execute any such Form 3, 4 or 5, complete and execute any amendment or amendments thereto, and timely file such form with the U.S. Securities and Exchange Commission and any other similar authority, including without limitation, the filing of a Form ID or any other documents necessary or appropriate to enable the undersigned to file the Forms 3, 4 and 5 electronically with the SEC; and 3. Take any other action of any type whatsoever in connection with the foregoing which, in the opinion of such attorney-in-fact, may be of benefit to, in the best interest of, or legally required by, the undersigned, it being understood that the documents executed by such attorney-in-fact on behalf of the undersigned pursuant to this Limited Power of Attorney shall be in such form and shall contain such terms and conditions as such attorney-in- fact may approve in his or her discretion. The undersigned hereby grants to each such attorney-in-fact full power and authority to do and perform any and every act and thing whatsoever requisite, necessary and proper to be done in the exercise of any of the rights and powers herein granted, as fully to all intents and purposes as the undersigned might or couldd</w:t>
      </w:r>
    </w:p>
    <w:p>
      <w:pPr>
        <w:pStyle w:val="Normal"/>
        <w:framePr w:w="7764" w:hAnchor="page" w:vAnchor="page" w:x="3026" w:y="15482"/>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o if personally present, with full power of substitution or revocation, hereby ratifying and confirming all that such attorney-in fact, or his or her substitute or substitutes, shall lawfully do or cause to be done by virtue of this power of attorney and the rights and powers herein granted. The undersigned acknowledges that the foregoing attorneys- in-fact, in serving in such capacity at the request of the undersigned, are not assuming, nor is the Company assuming, any of the undersigned’s responsibilities to comply with Section 16 of the Exchange Act. This Limited Power of Attorney shall remain in full force and effect until the undersigned is no longer required to file Forms 3, 4 or 5 with respect to the undersigned's holdings of and transactions in securities issued by the Company, unless earlier revoked by the undersigned in a signed writing delivered to each of the foregoing attorneys-in-fact. IN WITNESS WHEREOF, the undersigned has caused this Limited Power of Attorney to be executed as of this 20th day of February 2024. /s/ Sophie Zurquiyah____________ Name: Sophie Zurquiyah</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288" style="position:absolute;margin-left:7pt;margin-top:1pt;z-index:-16776060;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0.25pt;margin-top:782.6pt;z-index:-16776056;width:584.75pt;height:3.1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0.55pt;margin-top:782.85pt;z-index:-16776052;width:584.2pt;height:2.55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1.25pt;margin-top:19.7pt;z-index:-16776048;width:582.75pt;height:754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292" style="position:absolute;margin-left:7pt;margin-top:1pt;z-index:-16776044;width:598pt;height:20.8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p>
    <w:sectPr>
      <w:pgSz w:w="12240" w:h="20160"/>
      <w:pgMar w:top="400" w:right="400" w:bottom="400" w:left="400" w:header="720" w:footer="720"/>
      <w:pgNumType w:start="3"/>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jpeg" Type="http://schemas.openxmlformats.org/officeDocument/2006/relationships/image"/><Relationship Id="rId293" Target="media/image293.png" Type="http://schemas.openxmlformats.org/officeDocument/2006/relationships/image"/><Relationship Id="rId294" Target="styles.xml" Type="http://schemas.openxmlformats.org/officeDocument/2006/relationships/styles"/><Relationship Id="rId295" Target="fontTable.xml" Type="http://schemas.openxmlformats.org/officeDocument/2006/relationships/fontTable"/><Relationship Id="rId296" Target="settings.xml" Type="http://schemas.openxmlformats.org/officeDocument/2006/relationships/settings"/><Relationship Id="rId297" Target="webSettings.xml" Type="http://schemas.openxmlformats.org/officeDocument/2006/relationships/webSettings"/><Relationship Id="rId3" Target="media/image3.png" Type="http://schemas.openxmlformats.org/officeDocument/2006/relationships/image"/><Relationship Id="rId30" Target="media/image30.png" Type="http://schemas.openxmlformats.org/officeDocument/2006/relationships/image"/><Relationship Id="rId31" Target="media/image31.png" Type="http://schemas.openxmlformats.org/officeDocument/2006/relationships/image"/><Relationship Id="rId32" Target="media/image32.png" Type="http://schemas.openxmlformats.org/officeDocument/2006/relationships/image"/><Relationship Id="rId33" Target="media/image33.png" Type="http://schemas.openxmlformats.org/officeDocument/2006/relationships/image"/><Relationship Id="rId34" Target="media/image34.png" Type="http://schemas.openxmlformats.org/officeDocument/2006/relationships/image"/><Relationship Id="rId35" Target="media/image35.png" Type="http://schemas.openxmlformats.org/officeDocument/2006/relationships/image"/><Relationship Id="rId36" Target="media/image36.png" Type="http://schemas.openxmlformats.org/officeDocument/2006/relationships/image"/><Relationship Id="rId37" Target="media/image37.png" Type="http://schemas.openxmlformats.org/officeDocument/2006/relationships/image"/><Relationship Id="rId38" Target="media/image38.png" Type="http://schemas.openxmlformats.org/officeDocument/2006/relationships/image"/><Relationship Id="rId39" Target="media/image3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3</Pages>
  <Words>1103</Words>
  <Characters>5757</Characters>
  <Application>e-iceblue</Application>
  <DocSecurity>0</DocSecurity>
  <Lines>178</Lines>
  <Paragraphs>178</Paragraphs>
  <ScaleCrop>false</ScaleCrop>
  <Company>e-iceblue</Company>
  <LinksUpToDate>false</LinksUpToDate>
  <CharactersWithSpaces>6686</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2024-02-22T00:04:31Z</dcterms:created>
  <dc:creator>root</dc:creator>
  <cp:lastModifiedBy>root</cp:lastModifiedBy>
  <dcterms:modified xsi:type="dcterms:W3CDTF">2024-02-22T00:04:31Z</dcterms:modified>
  <cp:revision>1</cp:revision>
</cp:coreProperties>
</file>