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59"/>
        <w:spacing w:after="0"/>
        <w:rPr>
          <w:sz w:val="20"/>
          <w:szCs w:val="20"/>
          <w:color w:val="auto"/>
        </w:rPr>
      </w:pPr>
      <w:r>
        <w:rPr>
          <w:rFonts w:ascii="Arial" w:cs="Arial" w:eastAsia="Arial" w:hAnsi="Arial"/>
          <w:sz w:val="22"/>
          <w:szCs w:val="22"/>
          <w:b w:val="1"/>
          <w:bCs w:val="1"/>
          <w:color w:val="auto"/>
        </w:rPr>
        <w:drawing>
          <wp:anchor simplePos="0" relativeHeight="251657728" behindDoc="1" locked="0" layoutInCell="0" allowOverlap="1">
            <wp:simplePos x="0" y="0"/>
            <wp:positionH relativeFrom="page">
              <wp:posOffset>208280</wp:posOffset>
            </wp:positionH>
            <wp:positionV relativeFrom="page">
              <wp:posOffset>157480</wp:posOffset>
            </wp:positionV>
            <wp:extent cx="7132320" cy="34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32320" cy="34290"/>
                    </a:xfrm>
                    <a:prstGeom prst="rect">
                      <a:avLst/>
                    </a:prstGeom>
                    <a:noFill/>
                  </pic:spPr>
                </pic:pic>
              </a:graphicData>
            </a:graphic>
          </wp:anchor>
        </w:drawing>
        <w:drawing>
          <wp:anchor simplePos="0" relativeHeight="251657728" behindDoc="1" locked="0" layoutInCell="0" allowOverlap="1">
            <wp:simplePos x="0" y="0"/>
            <wp:positionH relativeFrom="page">
              <wp:posOffset>208280</wp:posOffset>
            </wp:positionH>
            <wp:positionV relativeFrom="page">
              <wp:posOffset>277495</wp:posOffset>
            </wp:positionV>
            <wp:extent cx="71323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32320" cy="8890"/>
                    </a:xfrm>
                    <a:prstGeom prst="rect">
                      <a:avLst/>
                    </a:prstGeom>
                    <a:noFill/>
                  </pic:spPr>
                </pic:pic>
              </a:graphicData>
            </a:graphic>
          </wp:anchor>
        </w:drawing>
        <w:t>UNITED STATES</w:t>
      </w:r>
    </w:p>
    <w:p>
      <w:pPr>
        <w:spacing w:after="0" w:line="6" w:lineRule="exact"/>
        <w:rPr>
          <w:sz w:val="24"/>
          <w:szCs w:val="24"/>
          <w:color w:val="auto"/>
        </w:rPr>
      </w:pPr>
    </w:p>
    <w:p>
      <w:pPr>
        <w:jc w:val="center"/>
        <w:ind w:right="-59"/>
        <w:spacing w:after="0"/>
        <w:rPr>
          <w:sz w:val="20"/>
          <w:szCs w:val="20"/>
          <w:color w:val="auto"/>
        </w:rPr>
      </w:pPr>
      <w:r>
        <w:rPr>
          <w:rFonts w:ascii="Arial" w:cs="Arial" w:eastAsia="Arial" w:hAnsi="Arial"/>
          <w:sz w:val="22"/>
          <w:szCs w:val="22"/>
          <w:b w:val="1"/>
          <w:bCs w:val="1"/>
          <w:color w:val="auto"/>
        </w:rPr>
        <w:t>SECURITIES AND EXCHANGE COMMISSION</w:t>
      </w:r>
    </w:p>
    <w:p>
      <w:pPr>
        <w:jc w:val="center"/>
        <w:ind w:right="-59"/>
        <w:spacing w:after="0"/>
        <w:rPr>
          <w:sz w:val="20"/>
          <w:szCs w:val="20"/>
          <w:color w:val="auto"/>
        </w:rPr>
      </w:pPr>
      <w:r>
        <w:rPr>
          <w:rFonts w:ascii="Arial" w:cs="Arial" w:eastAsia="Arial" w:hAnsi="Arial"/>
          <w:sz w:val="22"/>
          <w:szCs w:val="22"/>
          <w:b w:val="1"/>
          <w:bCs w:val="1"/>
          <w:color w:val="auto"/>
        </w:rPr>
        <w:t>Washington, D.C. 20549</w:t>
      </w:r>
    </w:p>
    <w:p>
      <w:pPr>
        <w:jc w:val="center"/>
        <w:ind w:right="-59"/>
        <w:spacing w:after="0"/>
        <w:rPr>
          <w:sz w:val="20"/>
          <w:szCs w:val="20"/>
          <w:color w:val="auto"/>
        </w:rPr>
      </w:pPr>
      <w:r>
        <w:rPr>
          <w:rFonts w:ascii="Arial" w:cs="Arial" w:eastAsia="Arial" w:hAnsi="Arial"/>
          <w:sz w:val="32"/>
          <w:szCs w:val="32"/>
          <w:b w:val="1"/>
          <w:bCs w:val="1"/>
          <w:color w:val="auto"/>
        </w:rPr>
        <w:t>SCHEDULE 14A INFORMATION</w:t>
      </w:r>
    </w:p>
    <w:p>
      <w:pPr>
        <w:jc w:val="center"/>
        <w:ind w:right="-59"/>
        <w:spacing w:after="0" w:line="230" w:lineRule="auto"/>
        <w:rPr>
          <w:sz w:val="20"/>
          <w:szCs w:val="20"/>
          <w:color w:val="auto"/>
        </w:rPr>
      </w:pPr>
      <w:r>
        <w:rPr>
          <w:rFonts w:ascii="Arial" w:cs="Arial" w:eastAsia="Arial" w:hAnsi="Arial"/>
          <w:sz w:val="22"/>
          <w:szCs w:val="22"/>
          <w:b w:val="1"/>
          <w:bCs w:val="1"/>
          <w:color w:val="auto"/>
        </w:rPr>
        <w:t>Proxy Statement Pursuant to Section 14(a) of the</w:t>
      </w:r>
    </w:p>
    <w:p>
      <w:pPr>
        <w:spacing w:after="0" w:line="1" w:lineRule="exact"/>
        <w:rPr>
          <w:sz w:val="24"/>
          <w:szCs w:val="24"/>
          <w:color w:val="auto"/>
        </w:rPr>
      </w:pPr>
    </w:p>
    <w:p>
      <w:pPr>
        <w:jc w:val="center"/>
        <w:ind w:right="-59"/>
        <w:spacing w:after="0"/>
        <w:tabs>
          <w:tab w:leader="none" w:pos="220" w:val="left"/>
        </w:tabs>
        <w:rPr>
          <w:sz w:val="20"/>
          <w:szCs w:val="20"/>
          <w:color w:val="auto"/>
        </w:rPr>
      </w:pPr>
      <w:r>
        <w:rPr>
          <w:rFonts w:ascii="Arial" w:cs="Arial" w:eastAsia="Arial" w:hAnsi="Arial"/>
          <w:sz w:val="22"/>
          <w:szCs w:val="22"/>
          <w:b w:val="1"/>
          <w:bCs w:val="1"/>
          <w:color w:val="auto"/>
        </w:rPr>
        <w:t>Securities Exchange Act of 1934 (Amendment No.</w:t>
        <w:tab/>
        <w:t>)</w:t>
      </w:r>
    </w:p>
    <w:p>
      <w:pPr>
        <w:spacing w:after="0" w:line="190" w:lineRule="exact"/>
        <w:rPr>
          <w:sz w:val="24"/>
          <w:szCs w:val="24"/>
          <w:color w:val="auto"/>
        </w:rPr>
      </w:pPr>
    </w:p>
    <w:p>
      <w:pPr>
        <w:spacing w:after="0" w:line="253" w:lineRule="exact"/>
        <w:tabs>
          <w:tab w:leader="none" w:pos="2380" w:val="left"/>
        </w:tabs>
        <w:rPr>
          <w:sz w:val="20"/>
          <w:szCs w:val="20"/>
          <w:color w:val="auto"/>
        </w:rPr>
      </w:pPr>
      <w:r>
        <w:rPr>
          <w:rFonts w:ascii="Arial" w:cs="Arial" w:eastAsia="Arial" w:hAnsi="Arial"/>
          <w:sz w:val="22"/>
          <w:szCs w:val="22"/>
          <w:color w:val="auto"/>
        </w:rPr>
        <w:t>Filed by the Registrant</w:t>
      </w:r>
      <w:r>
        <w:rPr>
          <w:sz w:val="20"/>
          <w:szCs w:val="20"/>
          <w:color w:val="auto"/>
        </w:rPr>
        <w:tab/>
      </w:r>
      <w:r>
        <w:rPr>
          <w:rFonts w:ascii="MS PGothic" w:cs="MS PGothic" w:eastAsia="MS PGothic" w:hAnsi="MS PGothic"/>
          <w:sz w:val="19"/>
          <w:szCs w:val="19"/>
          <w:color w:val="auto"/>
        </w:rPr>
        <w:t>☒</w:t>
      </w:r>
    </w:p>
    <w:p>
      <w:pPr>
        <w:spacing w:after="0" w:line="45" w:lineRule="exact"/>
        <w:rPr>
          <w:sz w:val="24"/>
          <w:szCs w:val="24"/>
          <w:color w:val="auto"/>
        </w:rPr>
      </w:pPr>
    </w:p>
    <w:p>
      <w:pPr>
        <w:spacing w:after="0" w:line="253" w:lineRule="exact"/>
        <w:tabs>
          <w:tab w:leader="none" w:pos="4100" w:val="left"/>
        </w:tabs>
        <w:rPr>
          <w:sz w:val="20"/>
          <w:szCs w:val="20"/>
          <w:color w:val="auto"/>
        </w:rPr>
      </w:pPr>
      <w:r>
        <w:rPr>
          <w:rFonts w:ascii="Arial" w:cs="Arial" w:eastAsia="Arial" w:hAnsi="Arial"/>
          <w:sz w:val="22"/>
          <w:szCs w:val="22"/>
          <w:color w:val="auto"/>
        </w:rPr>
        <w:t>Filed by a Party other than the Registrant</w:t>
      </w:r>
      <w:r>
        <w:rPr>
          <w:sz w:val="20"/>
          <w:szCs w:val="20"/>
          <w:color w:val="auto"/>
        </w:rPr>
        <w:tab/>
      </w:r>
      <w:r>
        <w:rPr>
          <w:rFonts w:ascii="MS PGothic" w:cs="MS PGothic" w:eastAsia="MS PGothic" w:hAnsi="MS PGothic"/>
          <w:sz w:val="19"/>
          <w:szCs w:val="19"/>
          <w:color w:val="auto"/>
        </w:rPr>
        <w:t>☐</w:t>
      </w:r>
    </w:p>
    <w:p>
      <w:pPr>
        <w:spacing w:after="0" w:line="5" w:lineRule="exact"/>
        <w:rPr>
          <w:sz w:val="24"/>
          <w:szCs w:val="24"/>
          <w:color w:val="auto"/>
        </w:rPr>
      </w:pPr>
    </w:p>
    <w:p>
      <w:pPr>
        <w:spacing w:after="0"/>
        <w:rPr>
          <w:sz w:val="20"/>
          <w:szCs w:val="20"/>
          <w:color w:val="auto"/>
        </w:rPr>
      </w:pPr>
      <w:r>
        <w:rPr>
          <w:rFonts w:ascii="Arial" w:cs="Arial" w:eastAsia="Arial" w:hAnsi="Arial"/>
          <w:sz w:val="22"/>
          <w:szCs w:val="22"/>
          <w:color w:val="auto"/>
        </w:rPr>
        <w:t>Check the appropriate box:</w:t>
      </w:r>
    </w:p>
    <w:p>
      <w:pPr>
        <w:spacing w:after="0" w:line="36" w:lineRule="exact"/>
        <w:rPr>
          <w:sz w:val="24"/>
          <w:szCs w:val="24"/>
          <w:color w:val="auto"/>
        </w:rPr>
      </w:pPr>
    </w:p>
    <w:p>
      <w:pPr>
        <w:ind w:left="380" w:hanging="332"/>
        <w:spacing w:after="0"/>
        <w:tabs>
          <w:tab w:leader="none" w:pos="38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54" w:lineRule="exact"/>
        <w:rPr>
          <w:rFonts w:ascii="MS PGothic" w:cs="MS PGothic" w:eastAsia="MS PGothic" w:hAnsi="MS PGothic"/>
          <w:sz w:val="18"/>
          <w:szCs w:val="18"/>
          <w:color w:val="auto"/>
        </w:rPr>
      </w:pPr>
    </w:p>
    <w:p>
      <w:pPr>
        <w:ind w:left="380" w:hanging="332"/>
        <w:spacing w:after="0"/>
        <w:tabs>
          <w:tab w:leader="none" w:pos="380" w:val="left"/>
        </w:tabs>
        <w:numPr>
          <w:ilvl w:val="0"/>
          <w:numId w:val="1"/>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98" w:lineRule="exact"/>
        <w:rPr>
          <w:rFonts w:ascii="MS PGothic" w:cs="MS PGothic" w:eastAsia="MS PGothic" w:hAnsi="MS PGothic"/>
          <w:sz w:val="18"/>
          <w:szCs w:val="18"/>
          <w:color w:val="auto"/>
        </w:rPr>
      </w:pPr>
    </w:p>
    <w:p>
      <w:pPr>
        <w:ind w:left="380" w:hanging="332"/>
        <w:spacing w:after="0"/>
        <w:tabs>
          <w:tab w:leader="none" w:pos="38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77" w:lineRule="exact"/>
        <w:rPr>
          <w:sz w:val="24"/>
          <w:szCs w:val="24"/>
          <w:color w:val="auto"/>
        </w:rPr>
      </w:pPr>
    </w:p>
    <w:p>
      <w:pPr>
        <w:ind w:left="380" w:hanging="332"/>
        <w:spacing w:after="0"/>
        <w:tabs>
          <w:tab w:leader="none" w:pos="38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77" w:lineRule="exact"/>
        <w:rPr>
          <w:sz w:val="24"/>
          <w:szCs w:val="24"/>
          <w:color w:val="auto"/>
        </w:rPr>
      </w:pPr>
    </w:p>
    <w:p>
      <w:pPr>
        <w:ind w:left="380" w:hanging="332"/>
        <w:spacing w:after="0"/>
        <w:tabs>
          <w:tab w:leader="none" w:pos="3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Soliciting Material Pursuant § 240.14a-12</w:t>
      </w:r>
    </w:p>
    <w:p>
      <w:pPr>
        <w:spacing w:after="0" w:line="226" w:lineRule="exact"/>
        <w:rPr>
          <w:sz w:val="24"/>
          <w:szCs w:val="24"/>
          <w:color w:val="auto"/>
        </w:rPr>
      </w:pPr>
    </w:p>
    <w:p>
      <w:pPr>
        <w:jc w:val="center"/>
        <w:ind w:right="-59"/>
        <w:spacing w:after="0"/>
        <w:rPr>
          <w:sz w:val="20"/>
          <w:szCs w:val="20"/>
          <w:color w:val="auto"/>
        </w:rPr>
      </w:pPr>
      <w:r>
        <w:rPr>
          <w:rFonts w:ascii="Arial" w:cs="Arial" w:eastAsia="Arial" w:hAnsi="Arial"/>
          <w:sz w:val="43"/>
          <w:szCs w:val="43"/>
          <w:b w:val="1"/>
          <w:bCs w:val="1"/>
          <w:color w:val="auto"/>
        </w:rPr>
        <w:t>TECHNIPFMC PLC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36830</wp:posOffset>
            </wp:positionV>
            <wp:extent cx="7132320" cy="171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60" w:lineRule="exact"/>
        <w:rPr>
          <w:sz w:val="24"/>
          <w:szCs w:val="24"/>
          <w:color w:val="auto"/>
        </w:rPr>
      </w:pPr>
    </w:p>
    <w:p>
      <w:pPr>
        <w:jc w:val="center"/>
        <w:ind w:right="-99"/>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128905</wp:posOffset>
            </wp:positionV>
            <wp:extent cx="7132320" cy="171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pacing w:after="0" w:line="187" w:lineRule="exact"/>
        <w:rPr>
          <w:sz w:val="24"/>
          <w:szCs w:val="24"/>
          <w:color w:val="auto"/>
        </w:rPr>
      </w:pPr>
    </w:p>
    <w:p>
      <w:pPr>
        <w:ind w:left="2520"/>
        <w:spacing w:after="0"/>
        <w:rPr>
          <w:sz w:val="20"/>
          <w:szCs w:val="20"/>
          <w:color w:val="auto"/>
        </w:rPr>
      </w:pPr>
      <w:r>
        <w:rPr>
          <w:rFonts w:ascii="Arial" w:cs="Arial" w:eastAsia="Arial" w:hAnsi="Arial"/>
          <w:sz w:val="18"/>
          <w:szCs w:val="18"/>
          <w:b w:val="1"/>
          <w:bCs w:val="1"/>
          <w:color w:val="auto"/>
        </w:rPr>
        <w:t>(Name of Person(s) Filing Proxy Statement, if Other Than the Registrant)</w:t>
      </w:r>
    </w:p>
    <w:p>
      <w:pPr>
        <w:spacing w:after="0" w:line="255" w:lineRule="exact"/>
        <w:rPr>
          <w:sz w:val="24"/>
          <w:szCs w:val="24"/>
          <w:color w:val="auto"/>
        </w:rPr>
      </w:pPr>
    </w:p>
    <w:p>
      <w:pPr>
        <w:spacing w:after="0"/>
        <w:rPr>
          <w:sz w:val="20"/>
          <w:szCs w:val="20"/>
          <w:color w:val="auto"/>
        </w:rPr>
      </w:pPr>
      <w:r>
        <w:rPr>
          <w:rFonts w:ascii="Arial" w:cs="Arial" w:eastAsia="Arial" w:hAnsi="Arial"/>
          <w:sz w:val="22"/>
          <w:szCs w:val="22"/>
          <w:color w:val="auto"/>
        </w:rPr>
        <w:t>Payment of Filing Fee (Check the appropriate box):</w:t>
      </w:r>
    </w:p>
    <w:p>
      <w:pPr>
        <w:spacing w:after="0" w:line="36" w:lineRule="exact"/>
        <w:rPr>
          <w:sz w:val="24"/>
          <w:szCs w:val="24"/>
          <w:color w:val="auto"/>
        </w:rPr>
      </w:pPr>
    </w:p>
    <w:p>
      <w:pPr>
        <w:ind w:left="380" w:hanging="332"/>
        <w:spacing w:after="0"/>
        <w:tabs>
          <w:tab w:leader="none" w:pos="38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77" w:lineRule="exact"/>
        <w:rPr>
          <w:sz w:val="24"/>
          <w:szCs w:val="24"/>
          <w:color w:val="auto"/>
        </w:rPr>
      </w:pPr>
    </w:p>
    <w:p>
      <w:pPr>
        <w:ind w:left="380" w:hanging="332"/>
        <w:spacing w:after="0"/>
        <w:tabs>
          <w:tab w:leader="none" w:pos="380" w:val="left"/>
        </w:tabs>
        <w:numPr>
          <w:ilvl w:val="0"/>
          <w:numId w:val="5"/>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14a-6(i)(1) and 0-11.</w:t>
      </w:r>
    </w:p>
    <w:p>
      <w:pPr>
        <w:spacing w:after="0" w:line="76" w:lineRule="exact"/>
        <w:rPr>
          <w:rFonts w:ascii="MS PGothic" w:cs="MS PGothic" w:eastAsia="MS PGothic" w:hAnsi="MS PGothic"/>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387"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387" w:lineRule="exact"/>
        <w:rPr>
          <w:rFonts w:ascii="Arial" w:cs="Arial" w:eastAsia="Arial" w:hAnsi="Arial"/>
          <w:sz w:val="18"/>
          <w:szCs w:val="18"/>
          <w:color w:val="auto"/>
        </w:rPr>
      </w:pPr>
    </w:p>
    <w:p>
      <w:pPr>
        <w:ind w:left="720" w:hanging="298"/>
        <w:spacing w:after="0" w:line="246" w:lineRule="auto"/>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372"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387"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373" w:lineRule="exact"/>
        <w:rPr>
          <w:rFonts w:ascii="Arial" w:cs="Arial" w:eastAsia="Arial" w:hAnsi="Arial"/>
          <w:sz w:val="18"/>
          <w:szCs w:val="18"/>
          <w:color w:val="auto"/>
        </w:rPr>
      </w:pPr>
    </w:p>
    <w:p>
      <w:pPr>
        <w:ind w:left="380" w:hanging="332"/>
        <w:spacing w:after="0"/>
        <w:tabs>
          <w:tab w:leader="none" w:pos="380" w:val="left"/>
        </w:tabs>
        <w:numPr>
          <w:ilvl w:val="0"/>
          <w:numId w:val="5"/>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76" w:lineRule="exact"/>
        <w:rPr>
          <w:rFonts w:ascii="MS PGothic" w:cs="MS PGothic" w:eastAsia="MS PGothic" w:hAnsi="MS PGothic"/>
          <w:sz w:val="18"/>
          <w:szCs w:val="18"/>
          <w:color w:val="auto"/>
        </w:rPr>
      </w:pPr>
    </w:p>
    <w:p>
      <w:pPr>
        <w:ind w:left="380" w:right="180" w:hanging="332"/>
        <w:spacing w:after="0" w:line="274" w:lineRule="auto"/>
        <w:tabs>
          <w:tab w:leader="none" w:pos="380" w:val="left"/>
        </w:tabs>
        <w:numPr>
          <w:ilvl w:val="0"/>
          <w:numId w:val="5"/>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39" w:lineRule="exact"/>
        <w:rPr>
          <w:rFonts w:ascii="MS PGothic" w:cs="MS PGothic" w:eastAsia="MS PGothic" w:hAnsi="MS PGothic"/>
          <w:sz w:val="17"/>
          <w:szCs w:val="17"/>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387"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387"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387" w:lineRule="exact"/>
        <w:rPr>
          <w:rFonts w:ascii="Arial" w:cs="Arial" w:eastAsia="Arial" w:hAnsi="Arial"/>
          <w:sz w:val="18"/>
          <w:szCs w:val="18"/>
          <w:color w:val="auto"/>
        </w:rPr>
      </w:pPr>
    </w:p>
    <w:p>
      <w:pPr>
        <w:ind w:left="720" w:hanging="298"/>
        <w:spacing w:after="0"/>
        <w:tabs>
          <w:tab w:leader="none" w:pos="720" w:val="left"/>
        </w:tabs>
        <w:numPr>
          <w:ilvl w:val="1"/>
          <w:numId w:val="5"/>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433705</wp:posOffset>
            </wp:positionH>
            <wp:positionV relativeFrom="paragraph">
              <wp:posOffset>203200</wp:posOffset>
            </wp:positionV>
            <wp:extent cx="6703695" cy="171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-173355</wp:posOffset>
            </wp:positionV>
            <wp:extent cx="6703695" cy="17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-550545</wp:posOffset>
            </wp:positionV>
            <wp:extent cx="6703695" cy="171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-927735</wp:posOffset>
            </wp:positionV>
            <wp:extent cx="6703695" cy="171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-1784985</wp:posOffset>
            </wp:positionV>
            <wp:extent cx="6703695" cy="171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-2162175</wp:posOffset>
            </wp:positionV>
            <wp:extent cx="6703695" cy="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-2539365</wp:posOffset>
            </wp:positionV>
            <wp:extent cx="6703695" cy="171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-3044825</wp:posOffset>
            </wp:positionV>
            <wp:extent cx="6703695" cy="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433705</wp:posOffset>
            </wp:positionH>
            <wp:positionV relativeFrom="paragraph">
              <wp:posOffset>-3422015</wp:posOffset>
            </wp:positionV>
            <wp:extent cx="6703695" cy="1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703695" cy="1714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288925</wp:posOffset>
            </wp:positionV>
            <wp:extent cx="713232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1323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383540</wp:posOffset>
            </wp:positionV>
            <wp:extent cx="7132320" cy="342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32320" cy="342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528955</wp:posOffset>
            </wp:positionV>
            <wp:extent cx="7132320" cy="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2320" cy="17145"/>
                    </a:xfrm>
                    <a:prstGeom prst="rect">
                      <a:avLst/>
                    </a:prstGeom>
                    <a:noFill/>
                  </pic:spPr>
                </pic:pic>
              </a:graphicData>
            </a:graphic>
          </wp:anchor>
        </w:drawing>
      </w:r>
    </w:p>
    <w:p>
      <w:pPr>
        <w:sectPr>
          <w:pgSz w:w="11900" w:h="16838" w:orient="portrait"/>
          <w:cols w:equalWidth="0" w:num="1">
            <w:col w:w="11200"/>
          </w:cols>
          <w:pgMar w:left="320" w:top="526" w:right="379" w:bottom="1440" w:gutter="0" w:footer="0" w:header="0"/>
        </w:sectPr>
      </w:pPr>
    </w:p>
    <w:bookmarkStart w:id="1" w:name="page2"/>
    <w:bookmarkEnd w:id="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32320" cy="8932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2320" cy="893254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 w:name="page3"/>
    <w:bookmarkEnd w:id="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208280</wp:posOffset>
            </wp:positionH>
            <wp:positionV relativeFrom="page">
              <wp:posOffset>88900</wp:posOffset>
            </wp:positionV>
            <wp:extent cx="7132320" cy="87350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873506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
      <w:numFmt w:val="bullet"/>
      <w:start w:val="1"/>
    </w:lvl>
  </w:abstractNum>
  <w:abstractNum w:abstractNumId="2">
    <w:nsid w:val="625558EC"/>
    <w:multiLevelType w:val="hybridMultilevel"/>
    <w:lvl w:ilvl="0">
      <w:lvlJc w:val="left"/>
      <w:lvlText w:val="☐"/>
      <w:numFmt w:val="bullet"/>
      <w:start w:val="1"/>
    </w:lvl>
  </w:abstractNum>
  <w:abstractNum w:abstractNumId="3">
    <w:nsid w:val="238E1F29"/>
    <w:multiLevelType w:val="hybridMultilevel"/>
    <w:lvl w:ilvl="0">
      <w:lvlJc w:val="left"/>
      <w:lvlText w:val="☒"/>
      <w:numFmt w:val="bullet"/>
      <w:start w:val="1"/>
    </w:lvl>
  </w:abstractNum>
  <w:abstractNum w:abstractNumId="4">
    <w:nsid w:val="46E87CCD"/>
    <w:multiLevelType w:val="hybridMultilevel"/>
    <w:lvl w:ilvl="0">
      <w:lvlJc w:val="left"/>
      <w:lvlText w:val="☐"/>
      <w:numFmt w:val="bullet"/>
      <w:start w:val="1"/>
    </w:lvl>
    <w:lvl w:ilvl="1">
      <w:lvlJc w:val="left"/>
      <w:lvlText w:val="(%2)"/>
      <w:numFmt w:val="decimal"/>
      <w:start w:val="1"/>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2021-04-09T15:11:57Z</dcterms:created>
  <dcterms:modified xsi:type="dcterms:W3CDTF">2021-04-09T15:11:57Z</dcterms:modified>
</cp:coreProperties>
</file>