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1846" w:hAnchor="page" w:vAnchor="page" w:x="276" w:y="1071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 terms used but not defined herein have the meanings assigned to such terms in the Form 10-K, Form 10-Q and Form 8-K.</w:t>
      </w:r>
    </w:p>
    <w:p>
      <w:pPr>
        <w:pStyle w:val="Normal"/>
        <w:framePr w:w="11429" w:hAnchor="page" w:vAnchor="page" w:x="276" w:y="102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Please note that the “Company” or “TechnipFMC” refers to TechnipFMC plc, together with its consolidated subsidiaries.</w:t>
      </w:r>
    </w:p>
    <w:p>
      <w:pPr>
        <w:pStyle w:val="Normal"/>
        <w:framePr w:w="4424" w:hAnchor="page" w:vAnchor="page" w:x="276" w:y="97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 the Company’s response to the comments.</w:t>
      </w:r>
    </w:p>
    <w:p>
      <w:pPr>
        <w:pStyle w:val="Normal"/>
        <w:framePr w:w="14360" w:hAnchor="page" w:vAnchor="page" w:x="276" w:y="95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“Form 10-Q”) and Form 8-K furnished with the SEC on October 26, 2023 (the “Form 8-K”). The Staff’s comments are set forth below in bold, followed</w:t>
      </w:r>
    </w:p>
    <w:p>
      <w:pPr>
        <w:pStyle w:val="Normal"/>
        <w:framePr w:w="13921" w:hAnchor="page" w:vAnchor="page" w:x="276" w:y="93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February 24, 2023 (the “Form 10-K”), Form 10-Q for the Quarterly Period Ended September 30, 2023, filed with the SEC on October 26, 2023 (the</w:t>
      </w:r>
    </w:p>
    <w:p>
      <w:pPr>
        <w:pStyle w:val="Normal"/>
        <w:framePr w:w="13438" w:hAnchor="page" w:vAnchor="page" w:x="276" w:y="90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Exchange Commission (the “SEC”), relating to the above-referenced Form 10-K for the year ended December 31, 2022, filed with the SEC on</w:t>
      </w:r>
    </w:p>
    <w:p>
      <w:pPr>
        <w:pStyle w:val="Normal"/>
        <w:framePr w:w="13699" w:hAnchor="page" w:vAnchor="page" w:x="276" w:y="88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letter responds to the letter dated November 8, 2023, from the staff of the Division of Corporation Finance (the “Staff”) of the Securities and</w:t>
      </w:r>
    </w:p>
    <w:p>
      <w:pPr>
        <w:pStyle w:val="Normal"/>
        <w:framePr w:w="3229" w:hAnchor="page" w:vAnchor="page" w:x="276" w:y="85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Dear Ms. Collins and Ms. Chen:</w:t>
      </w:r>
    </w:p>
    <w:p>
      <w:pPr>
        <w:pStyle w:val="Normal"/>
        <w:framePr w:w="2059" w:hAnchor="page" w:vAnchor="page" w:x="748" w:y="80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File No. 001-37983</w:t>
      </w:r>
    </w:p>
    <w:p>
      <w:pPr>
        <w:pStyle w:val="Normal"/>
        <w:framePr w:w="4253" w:hAnchor="page" w:vAnchor="page" w:x="748" w:y="78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8-K furnished on October 26, 2023</w:t>
      </w:r>
    </w:p>
    <w:p>
      <w:pPr>
        <w:pStyle w:val="Normal"/>
        <w:framePr w:w="6495" w:hAnchor="page" w:vAnchor="page" w:x="748" w:y="75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10-Q for the Quarterly Period Ended September 30, 2023</w:t>
      </w:r>
    </w:p>
    <w:p>
      <w:pPr>
        <w:pStyle w:val="Normal"/>
        <w:framePr w:w="5191" w:hAnchor="page" w:vAnchor="page" w:x="748" w:y="73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Form 10-K for the Year Ended December 31, 2022</w:t>
      </w:r>
    </w:p>
    <w:p>
      <w:pPr>
        <w:pStyle w:val="Normal"/>
        <w:framePr w:w="2453" w:hAnchor="page" w:vAnchor="page" w:x="276" w:y="71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Re:    TechnipFMC plc</w:t>
      </w:r>
    </w:p>
    <w:p>
      <w:pPr>
        <w:pStyle w:val="Normal"/>
        <w:framePr w:w="4270" w:hAnchor="page" w:vAnchor="page" w:x="276" w:y="66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Attention: Kathleen Collins and Chen Chen</w:t>
      </w:r>
    </w:p>
    <w:p>
      <w:pPr>
        <w:pStyle w:val="Normal"/>
        <w:framePr w:w="2401" w:hAnchor="page" w:vAnchor="page" w:x="276" w:y="61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DC 20549</w:t>
      </w:r>
    </w:p>
    <w:p>
      <w:pPr>
        <w:pStyle w:val="Normal"/>
        <w:framePr w:w="1899" w:hAnchor="page" w:vAnchor="page" w:x="276" w:y="59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100 F Street, N.E.</w:t>
      </w:r>
    </w:p>
    <w:p>
      <w:pPr>
        <w:pStyle w:val="Normal"/>
        <w:framePr w:w="3242" w:hAnchor="page" w:vAnchor="page" w:x="276" w:y="57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Division of Corporation Finance</w:t>
      </w:r>
    </w:p>
    <w:p>
      <w:pPr>
        <w:pStyle w:val="Normal"/>
        <w:framePr w:w="4199" w:hAnchor="page" w:vAnchor="page" w:x="276" w:y="54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U.S. Securities and Exchange Commission</w:t>
      </w:r>
    </w:p>
    <w:p>
      <w:pPr>
        <w:pStyle w:val="Normal"/>
        <w:framePr w:w="1403" w:hAnchor="page" w:vAnchor="page" w:x="276" w:y="501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Via EDGAR</w:t>
      </w:r>
    </w:p>
    <w:p>
      <w:pPr>
        <w:pStyle w:val="Normal"/>
        <w:framePr w:w="1065" w:hAnchor="page" w:vAnchor="page" w:x="5599" w:y="45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Madrid</w:t>
      </w:r>
    </w:p>
    <w:p>
      <w:pPr>
        <w:pStyle w:val="Normal"/>
        <w:framePr w:w="344" w:hAnchor="page" w:vAnchor="page" w:x="6901" w:y="45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47" w:hAnchor="page" w:vAnchor="page" w:x="5599" w:y="43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Los Angeles</w:t>
      </w:r>
    </w:p>
    <w:p>
      <w:pPr>
        <w:pStyle w:val="Normal"/>
        <w:framePr w:w="2019" w:hAnchor="page" w:vAnchor="page" w:x="6901" w:y="43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Washington, D.C.</w:t>
      </w:r>
    </w:p>
    <w:p>
      <w:pPr>
        <w:pStyle w:val="Normal"/>
        <w:framePr w:w="1104" w:hAnchor="page" w:vAnchor="page" w:x="5599" w:y="40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London</w:t>
      </w:r>
    </w:p>
    <w:p>
      <w:pPr>
        <w:pStyle w:val="Normal"/>
        <w:framePr w:w="955" w:hAnchor="page" w:vAnchor="page" w:x="6901" w:y="40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Tokyo</w:t>
      </w:r>
    </w:p>
    <w:p>
      <w:pPr>
        <w:pStyle w:val="Normal"/>
        <w:framePr w:w="1168" w:hAnchor="page" w:vAnchor="page" w:x="5599" w:y="38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Houston</w:t>
      </w:r>
    </w:p>
    <w:p>
      <w:pPr>
        <w:pStyle w:val="Normal"/>
        <w:framePr w:w="1162" w:hAnchor="page" w:vAnchor="page" w:x="6901" w:y="38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Tel Aviv</w:t>
      </w:r>
    </w:p>
    <w:p>
      <w:pPr>
        <w:pStyle w:val="Normal"/>
        <w:framePr w:w="1470" w:hAnchor="page" w:vAnchor="page" w:x="5599" w:y="36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Hong Kong</w:t>
      </w:r>
    </w:p>
    <w:p>
      <w:pPr>
        <w:pStyle w:val="Normal"/>
        <w:framePr w:w="1305" w:hAnchor="page" w:vAnchor="page" w:x="6901" w:y="36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Singapore</w:t>
      </w:r>
    </w:p>
    <w:p>
      <w:pPr>
        <w:pStyle w:val="Normal"/>
        <w:framePr w:w="1254" w:hAnchor="page" w:vAnchor="page" w:x="5599" w:y="33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Hamburg</w:t>
      </w:r>
    </w:p>
    <w:p>
      <w:pPr>
        <w:pStyle w:val="Normal"/>
        <w:framePr w:w="1671" w:hAnchor="page" w:vAnchor="page" w:x="6901" w:y="33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Silicon Valley</w:t>
      </w:r>
    </w:p>
    <w:p>
      <w:pPr>
        <w:pStyle w:val="Normal"/>
        <w:framePr w:w="1258" w:hAnchor="page" w:vAnchor="page" w:x="5599" w:y="31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Frankfurt</w:t>
      </w:r>
    </w:p>
    <w:p>
      <w:pPr>
        <w:pStyle w:val="Normal"/>
        <w:framePr w:w="894" w:hAnchor="page" w:vAnchor="page" w:x="6901" w:y="31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Seoul</w:t>
      </w:r>
    </w:p>
    <w:p>
      <w:pPr>
        <w:pStyle w:val="Normal"/>
        <w:framePr w:w="1400" w:hAnchor="page" w:vAnchor="page" w:x="5599" w:y="29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Düsseldorf</w:t>
      </w:r>
    </w:p>
    <w:p>
      <w:pPr>
        <w:pStyle w:val="Normal"/>
        <w:framePr w:w="1671" w:hAnchor="page" w:vAnchor="page" w:x="6901" w:y="29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San Francisco</w:t>
      </w:r>
    </w:p>
    <w:p>
      <w:pPr>
        <w:pStyle w:val="Normal"/>
        <w:framePr w:w="1930" w:hAnchor="page" w:vAnchor="page" w:x="276" w:y="27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December 8, 2023</w:t>
      </w:r>
    </w:p>
    <w:p>
      <w:pPr>
        <w:pStyle w:val="Normal"/>
        <w:framePr w:w="950" w:hAnchor="page" w:vAnchor="page" w:x="5599" w:y="27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Dubai</w:t>
      </w:r>
    </w:p>
    <w:p>
      <w:pPr>
        <w:pStyle w:val="Normal"/>
        <w:framePr w:w="1337" w:hAnchor="page" w:vAnchor="page" w:x="6901" w:y="27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San Diego</w:t>
      </w:r>
    </w:p>
    <w:p>
      <w:pPr>
        <w:pStyle w:val="Normal"/>
        <w:framePr w:w="1155" w:hAnchor="page" w:vAnchor="page" w:x="5599" w:y="24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Chicago</w:t>
      </w:r>
    </w:p>
    <w:p>
      <w:pPr>
        <w:pStyle w:val="Normal"/>
        <w:framePr w:w="1035" w:hAnchor="page" w:vAnchor="page" w:x="6901" w:y="24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Riyadh</w:t>
      </w:r>
    </w:p>
    <w:p>
      <w:pPr>
        <w:pStyle w:val="Normal"/>
        <w:framePr w:w="2392" w:hAnchor="page" w:vAnchor="page" w:x="5599" w:y="22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Century City     Paris</w:t>
      </w:r>
    </w:p>
    <w:p>
      <w:pPr>
        <w:pStyle w:val="Normal"/>
        <w:framePr w:w="1168" w:hAnchor="page" w:vAnchor="page" w:x="5599" w:y="20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Brussels</w:t>
      </w:r>
    </w:p>
    <w:p>
      <w:pPr>
        <w:pStyle w:val="Normal"/>
        <w:framePr w:w="1787" w:hAnchor="page" w:vAnchor="page" w:x="6901" w:y="20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Orange County</w:t>
      </w:r>
    </w:p>
    <w:p>
      <w:pPr>
        <w:pStyle w:val="Normal"/>
        <w:framePr w:w="1040" w:hAnchor="page" w:vAnchor="page" w:x="5599" w:y="17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Boston</w:t>
      </w:r>
    </w:p>
    <w:p>
      <w:pPr>
        <w:pStyle w:val="Normal"/>
        <w:framePr w:w="1314" w:hAnchor="page" w:vAnchor="page" w:x="6901" w:y="17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New York</w:t>
      </w:r>
    </w:p>
    <w:p>
      <w:pPr>
        <w:pStyle w:val="Normal"/>
        <w:framePr w:w="1065" w:hAnchor="page" w:vAnchor="page" w:x="5599" w:y="15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Beijing</w:t>
      </w:r>
    </w:p>
    <w:p>
      <w:pPr>
        <w:pStyle w:val="Normal"/>
        <w:framePr w:w="1087" w:hAnchor="page" w:vAnchor="page" w:x="6901" w:y="15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Munich</w:t>
      </w:r>
    </w:p>
    <w:p>
      <w:pPr>
        <w:pStyle w:val="Normal"/>
        <w:framePr w:w="1001" w:hAnchor="page" w:vAnchor="page" w:x="5599" w:y="13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Austin</w:t>
      </w:r>
    </w:p>
    <w:p>
      <w:pPr>
        <w:pStyle w:val="Normal"/>
        <w:framePr w:w="920" w:hAnchor="page" w:vAnchor="page" w:x="6901" w:y="13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Milan</w:t>
      </w:r>
    </w:p>
    <w:p>
      <w:pPr>
        <w:pStyle w:val="Normal"/>
        <w:framePr w:w="344" w:hAnchor="page" w:vAnchor="page" w:x="5599" w:y="10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01" w:hAnchor="page" w:vAnchor="page" w:x="5729" w:y="9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FIRM / AFFILIATE OFFICES</w:t>
      </w:r>
    </w:p>
    <w:p>
      <w:pPr>
        <w:pStyle w:val="Normal"/>
        <w:framePr w:w="5695" w:hAnchor="page" w:vAnchor="page" w:x="5599" w:y="6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Tel: +1.202.637.2200 Fax: +1.202.637.2201www.lw.com</w:t>
      </w:r>
    </w:p>
    <w:p>
      <w:pPr>
        <w:pStyle w:val="Normal"/>
        <w:framePr w:w="3213" w:hAnchor="page" w:vAnchor="page" w:x="5599" w:y="3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Washington, D.C. 20004-1304</w:t>
      </w:r>
    </w:p>
    <w:p>
      <w:pPr>
        <w:pStyle w:val="Normal"/>
        <w:framePr w:w="3916" w:hAnchor="page" w:vAnchor="page" w:x="5599" w:y="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555 Eleventh Street, N.W., Suite 1000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8pt;margin-top:48.3pt;z-index:-16777208;width:177.95pt;height:17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259.2pt;z-index:-16777204;width:50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p>
      <w:pPr>
        <w:pStyle w:val="Normal"/>
        <w:framePr w:w="344" w:hAnchor="page" w:vAnchor="page" w:x="6130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10411" w:hAnchor="page" w:vAnchor="page" w:x="276" w:y="78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East resulting from recent project awards in support of longer-term customer production targets in the region.</w:t>
      </w:r>
    </w:p>
    <w:p>
      <w:pPr>
        <w:pStyle w:val="Normal"/>
        <w:framePr w:w="14291" w:hAnchor="page" w:vAnchor="page" w:x="276" w:y="75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year period. Surface Technologies revenue increased by $30.6 million, out of which $22.2 million iswas due to increased operator activity in the Middle</w:t>
      </w:r>
    </w:p>
    <w:p>
      <w:pPr>
        <w:pStyle w:val="Normal"/>
        <w:framePr w:w="14306" w:hAnchor="page" w:vAnchor="page" w:x="276" w:y="73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into an increase in project revenue over the2021, which resulted in increased revenue from flexible pipe and higher installation activities over the prior-</w:t>
      </w:r>
    </w:p>
    <w:p>
      <w:pPr>
        <w:pStyle w:val="Normal"/>
        <w:framePr w:w="14156" w:hAnchor="page" w:vAnchor="page" w:x="276" w:y="71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by $293.3 million, primarily driven by a 24.5% higher backlog as of December 31, 2021 than2022, when compared to December 31, 2022, converting</w:t>
      </w:r>
    </w:p>
    <w:p>
      <w:pPr>
        <w:pStyle w:val="Normal"/>
        <w:framePr w:w="14212" w:hAnchor="page" w:vAnchor="page" w:x="276" w:y="68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Revenue increased $323.9 million during the three months ended September 30, 2023, compared to the same period in 2022. Subsea revenue increased</w:t>
      </w:r>
    </w:p>
    <w:p>
      <w:pPr>
        <w:pStyle w:val="Normal"/>
        <w:framePr w:w="9907" w:hAnchor="page" w:vAnchor="page" w:x="276" w:y="64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below, there are no other material drivers on revenue for the relevant periods ended September 30, 2023.</w:t>
      </w:r>
    </w:p>
    <w:p>
      <w:pPr>
        <w:pStyle w:val="Normal"/>
        <w:framePr w:w="13927" w:hAnchor="page" w:vAnchor="page" w:x="276" w:y="62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Form 10-Q. The illustrative additions are denoted as underlined text and deleted text is denoted as struck through text. Besides the drivers discussed</w:t>
      </w:r>
    </w:p>
    <w:p>
      <w:pPr>
        <w:pStyle w:val="Normal"/>
        <w:framePr w:w="14120" w:hAnchor="page" w:vAnchor="page" w:x="276" w:y="59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narratives on revenue in the “Management’s Discussion and Analysis of Financial Condition and Results of Operations” section of the Company’s</w:t>
      </w:r>
    </w:p>
    <w:p>
      <w:pPr>
        <w:pStyle w:val="Normal"/>
        <w:framePr w:w="14120" w:hAnchor="page" w:vAnchor="page" w:x="276" w:y="57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an example of how the Company plans to address the Staff’s comment in future filings and for illustrative purposes only, the Company has revised</w:t>
      </w:r>
    </w:p>
    <w:p>
      <w:pPr>
        <w:pStyle w:val="Normal"/>
        <w:framePr w:w="4546" w:hAnchor="page" w:vAnchor="page" w:x="276" w:y="52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Form 10-K or quarterly reports on Form 10-Q.</w:t>
      </w:r>
    </w:p>
    <w:p>
      <w:pPr>
        <w:pStyle w:val="Normal"/>
        <w:framePr w:w="14313" w:hAnchor="page" w:vAnchor="page" w:x="276" w:y="50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Outlook” in the “Management’s Discussion and Analysis of Financial Condition and Results of Operations” section of the Company’s annual reports on</w:t>
      </w:r>
    </w:p>
    <w:p>
      <w:pPr>
        <w:pStyle w:val="Normal"/>
        <w:framePr w:w="14145" w:hAnchor="page" w:vAnchor="page" w:x="276" w:y="48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additional discussion would be in addition to the Company’s current discussion of drivers of revenue under “Executive Overview” and “Business</w:t>
      </w:r>
    </w:p>
    <w:p>
      <w:pPr>
        <w:pStyle w:val="Normal"/>
        <w:framePr w:w="14118" w:hAnchor="page" w:vAnchor="page" w:x="276" w:y="45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including, on a qualitative basis, how a particular product-line or type of project activities has impacted revenue, to the extent applicable and material.</w:t>
      </w:r>
    </w:p>
    <w:p>
      <w:pPr>
        <w:pStyle w:val="Normal"/>
        <w:framePr w:w="13564" w:hAnchor="page" w:vAnchor="page" w:x="276" w:y="43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year ending December 31, 2023, the Company will provide further discussion on drivers where the Company discusses revenue specifically,</w:t>
      </w:r>
    </w:p>
    <w:p>
      <w:pPr>
        <w:pStyle w:val="Normal"/>
        <w:framePr w:w="14272" w:hAnchor="page" w:vAnchor="page" w:x="276" w:y="41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acknowledges the Staff’s comment and respectfully advises the Staff that beginning with the Company’s annual report on Form 10-K for</w:t>
      </w:r>
    </w:p>
    <w:p>
      <w:pPr>
        <w:pStyle w:val="Normal"/>
        <w:framePr w:w="1179" w:hAnchor="page" w:vAnchor="page" w:x="276" w:y="37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13719" w:hAnchor="page" w:vAnchor="page" w:x="276" w:y="31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what other drivers impacted revenue for the geographic regions discussed and include a quantified discussion of such drivers, where possible.</w:t>
      </w:r>
    </w:p>
    <w:p>
      <w:pPr>
        <w:pStyle w:val="Normal"/>
        <w:framePr w:w="13883" w:hAnchor="page" w:vAnchor="page" w:x="276" w:y="29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consideration to include a qualitative discussion of how certain projects or product lines impacted revenue in such regions. Alternatively, tell us</w:t>
      </w:r>
    </w:p>
    <w:p>
      <w:pPr>
        <w:pStyle w:val="Normal"/>
        <w:framePr w:w="14251" w:hAnchor="page" w:vAnchor="page" w:x="276" w:y="27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discussion of specific projects or product line details may cause competitive harm or negatively impact negotiation with your customers, tell us your</w:t>
      </w:r>
    </w:p>
    <w:p>
      <w:pPr>
        <w:pStyle w:val="Normal"/>
        <w:framePr w:w="14291" w:hAnchor="page" w:vAnchor="page" w:x="276" w:y="25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quantifying the change in revenue for various geographic regions, however, the drivers behind such changes remain unclear. While you state that a</w:t>
      </w:r>
    </w:p>
    <w:p>
      <w:pPr>
        <w:pStyle w:val="Normal"/>
        <w:framePr w:w="14235" w:hAnchor="page" w:vAnchor="page" w:x="276" w:y="22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1. We note your response to prior comment 1 and the revised disclosures in your September 30, 2023 Form 10-Q. Such revisions appear to focus on</w:t>
      </w:r>
    </w:p>
    <w:p>
      <w:pPr>
        <w:pStyle w:val="Normal"/>
        <w:framePr w:w="12302" w:hAnchor="page" w:vAnchor="page" w:x="276" w:y="18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Management’s Discussion and Analysis of Financial Condition and Results of Operations Segment Results of Operations, page 36</w:t>
      </w:r>
    </w:p>
    <w:p>
      <w:pPr>
        <w:pStyle w:val="Normal"/>
        <w:framePr w:w="6101" w:hAnchor="page" w:vAnchor="page" w:x="276" w:y="13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Form 10-Q for the Quarterly Period Ended September 30, 2023</w:t>
      </w:r>
    </w:p>
    <w:p>
      <w:pPr>
        <w:pStyle w:val="Normal"/>
        <w:framePr w:w="93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 2</w:t>
      </w:r>
    </w:p>
    <w:p>
      <w:pPr>
        <w:pStyle w:val="Normal"/>
        <w:framePr w:w="197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8,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7pt;margin-top:1pt;z-index:-1677720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2.8pt;margin-top:1pt;z-index:-167771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2.8pt;margin-top:2.45pt;z-index:-1677719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597.95pt;margin-top:1pt;z-index:-167771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2.8pt;margin-top:1pt;z-index:-1677718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.8pt;margin-top:46.1pt;z-index:-16777180;width:120.8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2.8pt;margin-top:75.5pt;z-index:-16777176;width:246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98.65pt;z-index:-16777172;width:505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197pt;z-index:-16777168;width:3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2.8pt;margin-top:360.5pt;z-index:-16777164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335.15pt;margin-top:360.5pt;z-index:-16777160;width:4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373.95pt;margin-top:364.8pt;z-index:-16777156;width:96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27.8pt;margin-top:360.5pt;z-index:-16777152;width:67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2.8pt;margin-top:372.05pt;z-index:-16777148;width:157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8.3pt;margin-top:376.4pt;z-index:-16777144;width:13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8.3pt;margin-top:372.05pt;z-index:-16777140;width:13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68.3pt;margin-top:372.05pt;z-index:-16777136;width:13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80.1pt;margin-top:376.4pt;z-index:-16777132;width:421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8pt;margin-top:387.95pt;z-index:-16777128;width:1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19.2pt;margin-top:383.65pt;z-index:-16777124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86.95pt;margin-top:383.65pt;z-index:-16777120;width:1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390.8pt;margin-top:383.65pt;z-index:-16777116;width:8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397.25pt;margin-top:387.95pt;z-index:-16777112;width:1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80.4pt;margin-top:387.95pt;z-index:-16777108;width:3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9.9pt;margin-top:399.55pt;z-index:-16777104;width:40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</w:p>
    <w:p>
      <w:pPr>
        <w:pStyle w:val="Normal"/>
        <w:framePr w:w="344" w:hAnchor="page" w:vAnchor="page" w:x="6130" w:y="93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11182" w:hAnchor="page" w:vAnchor="page" w:x="276" w:y="89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supporting higher drilling and completions activity that followed an extended period of underinvestment in the region.</w:t>
      </w:r>
    </w:p>
    <w:p>
      <w:pPr>
        <w:pStyle w:val="Normal"/>
        <w:framePr w:w="14236" w:hAnchor="page" w:vAnchor="page" w:x="276" w:y="87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driving increased supply of drilling and completions products. The increased revenue in North America was driven by improved commercial conditions</w:t>
      </w:r>
    </w:p>
    <w:p>
      <w:pPr>
        <w:pStyle w:val="Normal"/>
        <w:framePr w:w="14303" w:hAnchor="page" w:vAnchor="page" w:x="276" w:y="85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North America. The increase in the Middle East resulted from recent project awards in support of longer-term customer production targets in the region</w:t>
      </w:r>
    </w:p>
    <w:p>
      <w:pPr>
        <w:pStyle w:val="Normal"/>
        <w:framePr w:w="14122" w:hAnchor="page" w:vAnchor="page" w:x="276" w:y="82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America. During the nine months ended September 30, 2023 and 2022, 58% and 54% of total segment revenue, respectively, was generated outside of</w:t>
      </w:r>
    </w:p>
    <w:p>
      <w:pPr>
        <w:pStyle w:val="Normal"/>
        <w:framePr w:w="13774" w:hAnchor="page" w:vAnchor="page" w:x="276" w:y="80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$79.5 million of which iswas the result of increased activity in the Middle East and $26.9 million iswas due to increased operator activity in North</w:t>
      </w:r>
    </w:p>
    <w:p>
      <w:pPr>
        <w:pStyle w:val="Normal"/>
        <w:framePr w:w="14009" w:hAnchor="page" w:vAnchor="page" w:x="276" w:y="78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Surface Technologies revenue increased by $144.9 million, during the nine months ended September 30, 2023, compared to the same period in 2022,</w:t>
      </w:r>
    </w:p>
    <w:p>
      <w:pPr>
        <w:pStyle w:val="Normal"/>
        <w:framePr w:w="1276" w:hAnchor="page" w:vAnchor="page" w:x="276" w:y="73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operations.</w:t>
      </w:r>
    </w:p>
    <w:p>
      <w:pPr>
        <w:pStyle w:val="Normal"/>
        <w:framePr w:w="14218" w:hAnchor="page" w:vAnchor="page" w:x="276" w:y="71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North America was partially offset by an $8.7 million decline in North America due to lower drilling and completions activity and the exit of Canadian</w:t>
      </w:r>
    </w:p>
    <w:p>
      <w:pPr>
        <w:pStyle w:val="Normal"/>
        <w:framePr w:w="13859" w:hAnchor="page" w:vAnchor="page" w:x="276" w:y="68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Middle East resulted from recent project awards in support of longer-term customer production targets in the region. The higher revenue outside of</w:t>
      </w:r>
    </w:p>
    <w:p>
      <w:pPr>
        <w:pStyle w:val="Normal"/>
        <w:framePr w:w="13949" w:hAnchor="page" w:vAnchor="page" w:x="276" w:y="66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East represented 25.2% and 20.6%, respectively. and $20.3 million in European, Asian and African markets. The increase in operator activity in the</w:t>
      </w:r>
    </w:p>
    <w:p>
      <w:pPr>
        <w:pStyle w:val="Normal"/>
        <w:framePr w:w="13990" w:hAnchor="page" w:vAnchor="page" w:x="276" w:y="64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period in 2022, driven by higher levels of drilling and completions activity outside of North America, of whichincreasing $22.2 million in the Middle</w:t>
      </w:r>
    </w:p>
    <w:p>
      <w:pPr>
        <w:pStyle w:val="Normal"/>
        <w:framePr w:w="14092" w:hAnchor="page" w:vAnchor="page" w:x="276" w:y="62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three months ended September 30, 2023 and 2022, 60.6% and 54.0% of total segment revenue, respectively, was generated, compared to the same</w:t>
      </w:r>
    </w:p>
    <w:p>
      <w:pPr>
        <w:pStyle w:val="Normal"/>
        <w:framePr w:w="14151" w:hAnchor="page" w:vAnchor="page" w:x="276" w:y="59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Surface Technologies revenue increased by $30.6 million, $22.2 million of which is attributable to increased activity in the Middle East. Duringduring</w:t>
      </w:r>
    </w:p>
    <w:p>
      <w:pPr>
        <w:pStyle w:val="Normal"/>
        <w:framePr w:w="11641" w:hAnchor="page" w:vAnchor="page" w:x="276" w:y="55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$321.8 million decline in Asia Pacific from lower activity as projects reached completion in the region reached completion.</w:t>
      </w:r>
    </w:p>
    <w:p>
      <w:pPr>
        <w:pStyle w:val="Normal"/>
        <w:framePr w:w="13761" w:hAnchor="page" w:vAnchor="page" w:x="276" w:y="52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installation activities across these geographies. The increase in revenue in Brazil, the United States, Norway and Guyana was partially offset by a</w:t>
      </w:r>
    </w:p>
    <w:p>
      <w:pPr>
        <w:pStyle w:val="Normal"/>
        <w:framePr w:w="14292" w:hAnchor="page" w:vAnchor="page" w:x="276" w:y="50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million from Norway, and $100.1 million from Guyana, due to increased supply of flexible pipe and subsea production equipment combined with higher</w:t>
      </w:r>
    </w:p>
    <w:p>
      <w:pPr>
        <w:pStyle w:val="Normal"/>
        <w:framePr w:w="14251" w:hAnchor="page" w:vAnchor="page" w:x="276" w:y="48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offerings. $410.2 million of the increase comesin revenue came from Brazil, $168.5 million from Norway, $172.9 million from the United States, $168.5</w:t>
      </w:r>
    </w:p>
    <w:p>
      <w:pPr>
        <w:pStyle w:val="Normal"/>
        <w:framePr w:w="13561" w:hAnchor="page" w:vAnchor="page" w:x="276" w:y="45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increasedan increase in backlog during 2022, related to higher energy demand and upstream spending, further aided by our unique commercial</w:t>
      </w:r>
    </w:p>
    <w:p>
      <w:pPr>
        <w:pStyle w:val="Normal"/>
        <w:framePr w:w="13554" w:hAnchor="page" w:vAnchor="page" w:x="276" w:y="43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Subsea revenue increased by $595.6 million during the nine months ended September 30, 2023, compared to the same period in 2022, driven by</w:t>
      </w:r>
    </w:p>
    <w:p>
      <w:pPr>
        <w:pStyle w:val="Normal"/>
        <w:framePr w:w="5908" w:hAnchor="page" w:vAnchor="page" w:x="276" w:y="38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primarily from lower activity as projects reached completion.</w:t>
      </w:r>
    </w:p>
    <w:p>
      <w:pPr>
        <w:pStyle w:val="Normal"/>
        <w:framePr w:w="13769" w:hAnchor="page" w:vAnchor="page" w:x="276" w:y="36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geographies. The increase in revenue in Brazil, Norway and the United States was offset by a net $20.9 million decrease from the rest of the world</w:t>
      </w:r>
    </w:p>
    <w:p>
      <w:pPr>
        <w:pStyle w:val="Normal"/>
        <w:framePr w:w="13971" w:hAnchor="page" w:vAnchor="page" w:x="276" w:y="34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million from Norway and $54.1 million from the United States, due to increased supply of flexible pipe and higher installation activities across these</w:t>
      </w:r>
    </w:p>
    <w:p>
      <w:pPr>
        <w:pStyle w:val="Normal"/>
        <w:framePr w:w="13937" w:hAnchor="page" w:vAnchor="page" w:x="276" w:y="31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and upstream spending, further aided by our unique commercial offerings. $143.6 million of the increase comesin revenue came from Brazil, $116.9</w:t>
      </w:r>
    </w:p>
    <w:p>
      <w:pPr>
        <w:pStyle w:val="Normal"/>
        <w:framePr w:w="14375" w:hAnchor="page" w:vAnchor="page" w:x="276" w:y="29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months ended September 30, 2023, compared to the same period in 2022, driven by an increase in backlog during 2022 related to higher energy demand</w:t>
      </w:r>
    </w:p>
    <w:p>
      <w:pPr>
        <w:pStyle w:val="Normal"/>
        <w:framePr w:w="13724" w:hAnchor="page" w:vAnchor="page" w:x="276" w:y="27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Subsea revenue increased $293.3 million, as a continued positive impact of the backlog increase in 2022, compared to prior year during the three</w:t>
      </w:r>
    </w:p>
    <w:p>
      <w:pPr>
        <w:pStyle w:val="Normal"/>
        <w:framePr w:w="13016" w:hAnchor="page" w:vAnchor="page" w:x="276" w:y="22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$79.5 million and $26.9 million arewere due to increase inincreased operator activity in the Middle East and North America, respectively.</w:t>
      </w:r>
    </w:p>
    <w:p>
      <w:pPr>
        <w:pStyle w:val="Normal"/>
        <w:framePr w:w="13153" w:hAnchor="page" w:vAnchor="page" w:x="276" w:y="20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equipment combined with higher installation activities. Surface Technologies revenue increased by $144.9 million, year-over-year, of which</w:t>
      </w:r>
    </w:p>
    <w:p>
      <w:pPr>
        <w:pStyle w:val="Normal"/>
        <w:framePr w:w="13949" w:hAnchor="page" w:vAnchor="page" w:x="276" w:y="18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converting into an increase of $530.2 million in project revenues2021, which resulted in increased revenue from flexible pipe and subsea production</w:t>
      </w:r>
    </w:p>
    <w:p>
      <w:pPr>
        <w:pStyle w:val="Normal"/>
        <w:framePr w:w="14199" w:hAnchor="page" w:vAnchor="page" w:x="276" w:y="15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wasincreased $595.6 million, primarily driven by a 24.5% higher backlog as of December 31, 2021, than2022, when compared to December 31, 2022,</w:t>
      </w:r>
    </w:p>
    <w:p>
      <w:pPr>
        <w:pStyle w:val="Normal"/>
        <w:framePr w:w="14304" w:hAnchor="page" w:vAnchor="page" w:x="276" w:y="13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Revenue increased by $740.5 million during the nine months ended September 30, 2023, compared to the same period in 2022. Subsea revenue increase</w:t>
      </w:r>
    </w:p>
    <w:p>
      <w:pPr>
        <w:pStyle w:val="Normal"/>
        <w:framePr w:w="93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 3</w:t>
      </w:r>
    </w:p>
    <w:p>
      <w:pPr>
        <w:pStyle w:val="Normal"/>
        <w:framePr w:w="197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8,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7pt;margin-top:1pt;z-index:-1677710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8pt;margin-top:1pt;z-index:-167770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8pt;margin-top:2.45pt;z-index:-1677709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7.95pt;margin-top:1pt;z-index:-167770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8pt;margin-top:1pt;z-index:-1677708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8pt;margin-top:46.1pt;z-index:-16777080;width:120.8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87.35pt;margin-top:71.15pt;z-index:-16777076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566.95pt;margin-top:71.15pt;z-index:-16777072;width:3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2.8pt;margin-top:82.75pt;z-index:-16777068;width:1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27.8pt;margin-top:87.05pt;z-index:-16777064;width:141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05.75pt;margin-top:87.05pt;z-index:-16777060;width:9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78.15pt;margin-top:82.75pt;z-index:-16777056;width:43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419.35pt;margin-top:87.05pt;z-index:-16777052;width:99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573.2pt;margin-top:82.75pt;z-index:-16777048;width:23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2.8pt;margin-top:94.3pt;z-index:-16777044;width:251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62.3pt;margin-top:98.65pt;z-index:-16777040;width:324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.8pt;margin-top:110.2pt;z-index:-16777036;width:21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384.65pt;margin-top:105.9pt;z-index:-16777032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52.4pt;margin-top:105.9pt;z-index:-16777028;width: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7.3pt;margin-top:117.45pt;z-index:-16777024;width:14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49.8pt;margin-top:121.8pt;z-index:-16777020;width:20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96.8pt;margin-top:117.45pt;z-index:-16777016;width:44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39pt;margin-top:121.8pt;z-index:-16777012;width:3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73.25pt;margin-top:140.6pt;z-index:-16777008;width:339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510.95pt;margin-top:144.95pt;z-index:-16777004;width:6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2.8pt;margin-top:156.5pt;z-index:-16777000;width:591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2.8pt;margin-top:168.1pt;z-index:-16776996;width:287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361.5pt;margin-top:168.1pt;z-index:-16776992;width:23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0.3pt;margin-top:163.75pt;z-index:-16776988;width:2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44.35pt;margin-top:168.1pt;z-index:-16776984;width:64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57.35pt;margin-top:179.65pt;z-index:-16776980;width:330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12.8pt;margin-top:191.25pt;z-index:-16776976;width:32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367.9pt;margin-top:191.25pt;z-index:-16776972;width:9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8pt;margin-top:202.8pt;z-index:-16776968;width:236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14.6pt;margin-top:221.6pt;z-index:-16776964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82.35pt;margin-top:225.95pt;z-index:-16776960;width:3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8pt;margin-top:233.2pt;z-index:-16776956;width:3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9.9pt;margin-top:237.5pt;z-index:-16776952;width:56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86.9pt;margin-top:237.5pt;z-index:-16776948;width:383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2.8pt;margin-top:249.1pt;z-index:-16776944;width:36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10.5pt;margin-top:249.1pt;z-index:-16776940;width:23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69.3pt;margin-top:244.75pt;z-index:-16776936;width:26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93.4pt;margin-top:249.1pt;z-index:-16776932;width:64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307.25pt;margin-top:244.75pt;z-index:-16776928;width:115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565.75pt;margin-top:249.1pt;z-index:-16776924;width:33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2.8pt;margin-top:260.65pt;z-index:-16776920;width:8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29.25pt;margin-top:260.65pt;z-index:-16776916;width:371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12.8pt;margin-top:272.25pt;z-index:-16776912;width:526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571.85pt;margin-top:272.25pt;z-index:-16776908;width: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60.85pt;margin-top:283.8pt;z-index:-16776904;width: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80.35pt;margin-top:279.45pt;z-index:-16776900;width:77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07.55pt;margin-top:283.8pt;z-index:-16776896;width:8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69.65pt;margin-top:302.6pt;z-index:-16776892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37.4pt;margin-top:302.6pt;z-index:-16776888;width:331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67.2pt;margin-top:306.95pt;z-index:-16776884;width:27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183.75pt;margin-top:314.2pt;z-index:-16776880;width:319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01.1pt;margin-top:318.55pt;z-index:-16776876;width:91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2.8pt;margin-top:330.1pt;z-index:-16776872;width:28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405.3pt;margin-top:325.75pt;z-index:-16776868;width:34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38.2pt;margin-top:330.1pt;z-index:-16776864;width:10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2.35pt;margin-top:337.35pt;z-index:-16776860;width:170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03.4pt;margin-top:341.7pt;z-index:-16776856;width:38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2.8pt;margin-top:353.25pt;z-index:-16776852;width:569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12.8pt;margin-top:364.8pt;z-index:-16776848;width:584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2.8pt;margin-top:376.4pt;z-index:-16776844;width:45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169.65pt;margin-top:395.2pt;z-index:-16776840;width:11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37.4pt;margin-top:399.55pt;z-index:-16776836;width:34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101.95pt;margin-top:406.75pt;z-index:-16776832;width:8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108.4pt;margin-top:411.1pt;z-index:-16776828;width:1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388.25pt;margin-top:406.75pt;z-index:-16776824;width:8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4.65pt;margin-top:411.1pt;z-index:-16776820;width:1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.25pt;margin-top:418.35pt;z-index:-16776816;width:543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2.8pt;margin-top:429.9pt;z-index:-16776812;width:6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75.15pt;margin-top:434.25pt;z-index:-16776808;width:52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2.8pt;margin-top:445.85pt;z-index:-16776804;width:585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12.8pt;margin-top:457.4pt;z-index:-16776800;width:458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344" w:hAnchor="page" w:vAnchor="page" w:x="6130" w:y="83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</w:t>
      </w:r>
    </w:p>
    <w:p>
      <w:pPr>
        <w:pStyle w:val="Normal"/>
        <w:framePr w:w="10494" w:hAnchor="page" w:vAnchor="page" w:x="276" w:y="79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valuation allowance consideration, in which case the tax effect of such item is estimated accordingly positions.</w:t>
      </w:r>
    </w:p>
    <w:p>
      <w:pPr>
        <w:pStyle w:val="Normal"/>
        <w:framePr w:w="14293" w:hAnchor="page" w:vAnchor="page" w:x="276" w:y="77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requires, the need of application of a specific tax rate, tax treatment orhistory of non-GAAP taxable income positions (i.e. NOLs) and concluding on the</w:t>
      </w:r>
    </w:p>
    <w:p>
      <w:pPr>
        <w:pStyle w:val="Normal"/>
        <w:framePr w:w="14382" w:hAnchor="page" w:vAnchor="page" w:x="276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tax rate to the pretax amount, unlessnon-GAAP amounts, analyzing the nature of the item and/or the tax jurisdiction in which the item has been recorded</w:t>
      </w:r>
    </w:p>
    <w:p>
      <w:pPr>
        <w:pStyle w:val="Normal"/>
        <w:framePr w:w="14350" w:hAnchor="page" w:vAnchor="page" w:x="276" w:y="72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applicable reconciliation table. Estimates of the tax effect of each adjustment is calculated item by item, applyingby reviewing the relevant jurisdictional</w:t>
      </w:r>
    </w:p>
    <w:p>
      <w:pPr>
        <w:pStyle w:val="Normal"/>
        <w:framePr w:w="13936" w:hAnchor="page" w:vAnchor="page" w:x="276" w:y="70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Non-GAAP adjustments are presented on a gross basis, and are not net ofthe tax impact of the non-GAAP adjustments is separately presented in the</w:t>
      </w:r>
    </w:p>
    <w:p>
      <w:pPr>
        <w:pStyle w:val="Normal"/>
        <w:framePr w:w="633" w:hAnchor="page" w:vAnchor="page" w:x="276" w:y="65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text.</w:t>
      </w:r>
    </w:p>
    <w:p>
      <w:pPr>
        <w:pStyle w:val="Normal"/>
        <w:framePr w:w="14207" w:hAnchor="page" w:vAnchor="page" w:x="276" w:y="63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adjustments. Updated language is set forth below. The illustrative additions are denoted as underlined text and deleted text is denoted as struck through</w:t>
      </w:r>
    </w:p>
    <w:p>
      <w:pPr>
        <w:pStyle w:val="Normal"/>
        <w:framePr w:w="14325" w:hAnchor="page" w:vAnchor="page" w:x="276" w:y="60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addition, the Company will update its future earnings releases and other investor communications to clarify how taxation is calculated for non-GAAP</w:t>
      </w:r>
    </w:p>
    <w:p>
      <w:pPr>
        <w:pStyle w:val="Normal"/>
        <w:framePr w:w="10482" w:hAnchor="page" w:vAnchor="page" w:x="276" w:y="56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valuation allowance was not considered to have been reversed for non-GAAP purposes in the relevant periods.</w:t>
      </w:r>
    </w:p>
    <w:p>
      <w:pPr>
        <w:pStyle w:val="Normal"/>
        <w:framePr w:w="13540" w:hAnchor="page" w:vAnchor="page" w:x="276" w:y="53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income. The Company confirms that the generation of future non-GAAP taxable income for these jurisdictions is limited. Therefore, the related</w:t>
      </w:r>
    </w:p>
    <w:p>
      <w:pPr>
        <w:pStyle w:val="Normal"/>
        <w:framePr w:w="13774" w:hAnchor="page" w:vAnchor="page" w:x="276" w:y="51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the relevant periods referenced in the Staff’s comment above, on a non-GAAP basis, these jurisdictions do not have a recent history of taxable</w:t>
      </w:r>
    </w:p>
    <w:p>
      <w:pPr>
        <w:pStyle w:val="Normal"/>
        <w:framePr w:w="14130" w:hAnchor="page" w:vAnchor="page" w:x="276" w:y="49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investment in Technip Energies were recorded currently have a full valuation allowance against the respective jurisdiction’s cumulative GAAP NOLs.</w:t>
      </w:r>
    </w:p>
    <w:p>
      <w:pPr>
        <w:pStyle w:val="Normal"/>
        <w:framePr w:w="13689" w:hAnchor="page" w:vAnchor="page" w:x="276" w:y="47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acknowledges the Staff’s comment and respectfully advises the Staff that all jurisdictions where impairment charges and loss from</w:t>
      </w:r>
    </w:p>
    <w:p>
      <w:pPr>
        <w:pStyle w:val="Normal"/>
        <w:framePr w:w="1179" w:hAnchor="page" w:vAnchor="page" w:x="276" w:y="43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4121" w:hAnchor="page" w:vAnchor="page" w:x="276" w:y="37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that at tax adjustment was not necessary.</w:t>
      </w:r>
    </w:p>
    <w:p>
      <w:pPr>
        <w:pStyle w:val="Normal"/>
        <w:framePr w:w="14157" w:hAnchor="page" w:vAnchor="page" w:x="276" w:y="35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losses but non-GAAP net income, tell us how you determined that the NOLs and valuation allowance would apply to the non-GAAP measure such</w:t>
      </w:r>
    </w:p>
    <w:p>
      <w:pPr>
        <w:pStyle w:val="Normal"/>
        <w:framePr w:w="13855" w:hAnchor="page" w:vAnchor="page" w:x="276" w:y="33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valuation allowance is based on the non-GAAP tax position in such jurisdictions. In this regard, to the extent these jurisdictions had GAAP net</w:t>
      </w:r>
    </w:p>
    <w:p>
      <w:pPr>
        <w:pStyle w:val="Normal"/>
        <w:framePr w:w="13743" w:hAnchor="page" w:vAnchor="page" w:x="276" w:y="30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carryforwards (NOL) and/or a full valuation allowance against the deferred tax assets. Please clarify whether your reference to the NOLs and</w:t>
      </w:r>
    </w:p>
    <w:p>
      <w:pPr>
        <w:pStyle w:val="Normal"/>
        <w:framePr w:w="13769" w:hAnchor="page" w:vAnchor="page" w:x="276" w:y="28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charges and loss from investment in Technip Energies, due to the fact, that these adjustments relate to jurisdictions that had net operating loss</w:t>
      </w:r>
    </w:p>
    <w:p>
      <w:pPr>
        <w:pStyle w:val="Normal"/>
        <w:framePr w:w="13901" w:hAnchor="page" w:vAnchor="page" w:x="276" w:y="26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2. We note from your response to prior comment 4 that you did not record the tax effect for certain non-GAAP adjustments, such as impairment</w:t>
      </w:r>
    </w:p>
    <w:p>
      <w:pPr>
        <w:pStyle w:val="Normal"/>
        <w:framePr w:w="6446" w:hAnchor="page" w:vAnchor="page" w:x="276" w:y="22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Reconciliation of GAAP to non-GAAP Financial Measures, page 1</w:t>
      </w:r>
    </w:p>
    <w:p>
      <w:pPr>
        <w:pStyle w:val="Normal"/>
        <w:framePr w:w="1372" w:hAnchor="page" w:vAnchor="page" w:x="276" w:y="18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Exhibit 99.1</w:t>
      </w:r>
    </w:p>
    <w:p>
      <w:pPr>
        <w:pStyle w:val="Normal"/>
        <w:framePr w:w="4090" w:hAnchor="page" w:vAnchor="page" w:x="276" w:y="13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Form 8-K Furnished on October 26, 2023</w:t>
      </w:r>
    </w:p>
    <w:p>
      <w:pPr>
        <w:pStyle w:val="Normal"/>
        <w:framePr w:w="93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 4</w:t>
      </w:r>
    </w:p>
    <w:p>
      <w:pPr>
        <w:pStyle w:val="Normal"/>
        <w:framePr w:w="197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8,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2.8pt;margin-top:1pt;z-index:-1677679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2.8pt;margin-top:2.45pt;z-index:-1677678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7.95pt;margin-top:1pt;z-index:-1677678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12.8pt;margin-top:1pt;z-index:-1677678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.8pt;margin-top:46.1pt;z-index:-16776776;width:120.8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12.8pt;margin-top:75.5pt;z-index:-16776772;width:162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2.8pt;margin-top:98.65pt;z-index:-16776768;width:4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12.8pt;margin-top:121.8pt;z-index:-16776764;width:261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2.8pt;margin-top:225.95pt;z-index:-16776760;width:41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24.05pt;margin-top:359.05pt;z-index:-16776756;width: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45.75pt;margin-top:354.7pt;z-index:-16776752;width:5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97.05pt;margin-top:359.05pt;z-index:-16776748;width:13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25.4pt;margin-top:359.05pt;z-index:-16776744;width:260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12.8pt;margin-top:370.6pt;z-index:-16776740;width:12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16.15pt;margin-top:366.25pt;z-index:-16776736;width:35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49.85pt;margin-top:370.6pt;z-index:-16776732;width:51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593.7pt;margin-top:370.6pt;z-index:-16776728;width:9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95.7pt;margin-top:377.85pt;z-index:-16776724;width:59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53.5pt;margin-top:382.2pt;z-index:-16776720;width:121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2.8pt;margin-top:389.4pt;z-index:-16776716;width:33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4.2pt;margin-top:393.75pt;z-index:-16776712;width:4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23.55pt;margin-top:389.4pt;z-index:-16776708;width:63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85.3pt;margin-top:393.75pt;z-index:-16776704;width:315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93.65pt;margin-top:401pt;z-index:-16776700;width:309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403.3pt;margin-top:405.35pt;z-index:-16776696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</w:p>
    <w:p>
      <w:pPr>
        <w:pStyle w:val="Normal"/>
        <w:framePr w:w="344" w:hAnchor="page" w:vAnchor="page" w:x="6130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</w:t>
      </w:r>
    </w:p>
    <w:p>
      <w:pPr>
        <w:pStyle w:val="Normal"/>
        <w:framePr w:w="7486" w:hAnchor="page" w:vAnchor="page" w:x="748" w:y="71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Cristina Aalders, Executive Vice President, Chief Legal Officer, and Secretary</w:t>
      </w:r>
    </w:p>
    <w:p>
      <w:pPr>
        <w:pStyle w:val="Normal"/>
        <w:framePr w:w="8119" w:hAnchor="page" w:vAnchor="page" w:x="748" w:y="68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Krisztina Doroghazi, Senior Vice President, Controller and Chief Accounting Officer</w:t>
      </w:r>
    </w:p>
    <w:p>
      <w:pPr>
        <w:pStyle w:val="Normal"/>
        <w:framePr w:w="6747" w:hAnchor="page" w:vAnchor="page" w:x="276" w:y="66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Cc:    Alf Melin, Executive Vice President and Chief Financial Officer</w:t>
      </w:r>
    </w:p>
    <w:p>
      <w:pPr>
        <w:pStyle w:val="Normal"/>
        <w:framePr w:w="3223" w:hAnchor="page" w:vAnchor="page" w:x="7364" w:y="60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LATHAM &amp; WATKINS LLP</w:t>
      </w:r>
    </w:p>
    <w:p>
      <w:pPr>
        <w:pStyle w:val="Normal"/>
        <w:framePr w:w="1938" w:hAnchor="page" w:vAnchor="page" w:x="7364" w:y="57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Julia A Thompson</w:t>
      </w:r>
    </w:p>
    <w:p>
      <w:pPr>
        <w:pStyle w:val="Normal"/>
        <w:framePr w:w="2214" w:hAnchor="page" w:vAnchor="page" w:x="7364" w:y="55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Julia A Thompson</w:t>
      </w:r>
    </w:p>
    <w:p>
      <w:pPr>
        <w:pStyle w:val="Normal"/>
        <w:framePr w:w="1145" w:hAnchor="page" w:vAnchor="page" w:x="7364" w:y="50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Sincerely,</w:t>
      </w:r>
    </w:p>
    <w:p>
      <w:pPr>
        <w:pStyle w:val="Normal"/>
        <w:framePr w:w="4681" w:hAnchor="page" w:vAnchor="page" w:x="276" w:y="45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telephone the undersigned at (202) 637-1073.</w:t>
      </w:r>
    </w:p>
    <w:p>
      <w:pPr>
        <w:pStyle w:val="Normal"/>
        <w:framePr w:w="14199" w:hAnchor="page" w:vAnchor="page" w:x="276" w:y="43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appreciate the Staff’s time and attention to this matter. If you have any questions or comments or require further information, please do not hesitate</w:t>
      </w:r>
    </w:p>
    <w:p>
      <w:pPr>
        <w:pStyle w:val="Normal"/>
        <w:framePr w:w="2137" w:hAnchor="page" w:vAnchor="page" w:x="5382" w:y="40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*        *        *         *</w:t>
      </w:r>
    </w:p>
    <w:p>
      <w:pPr>
        <w:pStyle w:val="Normal"/>
        <w:framePr w:w="10243" w:hAnchor="page" w:vAnchor="page" w:x="276" w:y="34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 the Staff in the Staff’s comment in the Company’s future earnings releases and investor communications.</w:t>
      </w:r>
    </w:p>
    <w:p>
      <w:pPr>
        <w:pStyle w:val="Normal"/>
        <w:framePr w:w="14178" w:hAnchor="page" w:vAnchor="page" w:x="276" w:y="31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acknowledges the Staff’s comment and will remove the subtotal for “Adjusted operating profit” from the reconciliation table referred to</w:t>
      </w:r>
    </w:p>
    <w:p>
      <w:pPr>
        <w:pStyle w:val="Normal"/>
        <w:framePr w:w="1179" w:hAnchor="page" w:vAnchor="page" w:x="276" w:y="28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Response:</w:t>
      </w:r>
    </w:p>
    <w:p>
      <w:pPr>
        <w:pStyle w:val="Normal"/>
        <w:framePr w:w="4200" w:hAnchor="page" w:vAnchor="page" w:x="276" w:y="22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that begins with GAAP operating income.</w:t>
      </w:r>
    </w:p>
    <w:p>
      <w:pPr>
        <w:pStyle w:val="Normal"/>
        <w:framePr w:w="13986" w:hAnchor="page" w:vAnchor="page" w:x="276" w:y="20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reconciliation. To the extent you want to present a measure for non-GAAP operating income, provide a separate reconciliation for such measure</w:t>
      </w:r>
    </w:p>
    <w:p>
      <w:pPr>
        <w:pStyle w:val="Normal"/>
        <w:framePr w:w="13453" w:hAnchor="page" w:vAnchor="page" w:x="276" w:y="18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reconciled to the most directly comparable GAAP measure of operating income. Therefore, please remove this subtotal from your proposed</w:t>
      </w:r>
    </w:p>
    <w:p>
      <w:pPr>
        <w:pStyle w:val="Normal"/>
        <w:framePr w:w="14080" w:hAnchor="page" w:vAnchor="page" w:x="276" w:y="15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“adjusted operating profit” in this reconciliation and what it is intended to convey. In this regard, as presented adjusted operating income is not</w:t>
      </w:r>
    </w:p>
    <w:p>
      <w:pPr>
        <w:pStyle w:val="Normal"/>
        <w:framePr w:w="14306" w:hAnchor="page" w:vAnchor="page" w:x="276" w:y="13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19"/>
          <w:szCs w:val="19"/>
        </w:rPr>
        <w:t>3. We note the revised non-GAAP reconciliation that you propose to include in future filings. Please explain further the inclusion of the subtotal for</w:t>
      </w:r>
    </w:p>
    <w:p>
      <w:pPr>
        <w:pStyle w:val="Normal"/>
        <w:framePr w:w="93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Page  5</w:t>
      </w:r>
    </w:p>
    <w:p>
      <w:pPr>
        <w:pStyle w:val="Normal"/>
        <w:framePr w:w="197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8,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7pt;margin-top:1pt;z-index:-16776692;width:598pt;height:39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2.8pt;margin-top:1pt;z-index:-1677668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2.8pt;margin-top:2.45pt;z-index:-1677668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597.95pt;margin-top:1pt;z-index:-1677668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2.8pt;margin-top:1pt;z-index:-1677667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67.2pt;margin-top:287.45pt;z-index:-16776672;width:23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3.8pt;margin-top:46.1pt;z-index:-16776668;width:120.8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12.8pt;margin-top:150.7pt;z-index:-16776664;width:41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520054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jpe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jpeg" Type="http://schemas.openxmlformats.org/officeDocument/2006/relationships/image"/><Relationship Id="rId138" Target="media/image138.png" Type="http://schemas.openxmlformats.org/officeDocument/2006/relationships/image"/><Relationship Id="rId139" Target="styles.xml" Type="http://schemas.openxmlformats.org/officeDocument/2006/relationships/styles"/><Relationship Id="rId14" Target="media/image14.png" Type="http://schemas.openxmlformats.org/officeDocument/2006/relationships/image"/><Relationship Id="rId140" Target="fontTable.xml" Type="http://schemas.openxmlformats.org/officeDocument/2006/relationships/fontTable"/><Relationship Id="rId141" Target="settings.xml" Type="http://schemas.openxmlformats.org/officeDocument/2006/relationships/settings"/><Relationship Id="rId142" Target="webSettings.xml" Type="http://schemas.openxmlformats.org/officeDocument/2006/relationships/webSettings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jpe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jpe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jpe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1963</Words>
  <Characters>10866</Characters>
  <Application>e-iceblue</Application>
  <DocSecurity>0</DocSecurity>
  <Lines>160</Lines>
  <Paragraphs>160</Paragraphs>
  <ScaleCrop>false</ScaleCrop>
  <Company>e-iceblue</Company>
  <LinksUpToDate>false</LinksUpToDate>
  <CharactersWithSpaces>12791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2024-01-11T23:15:55Z</dcterms:created>
  <dc:creator>root</dc:creator>
  <cp:lastModifiedBy>root</cp:lastModifiedBy>
  <dcterms:modified xsi:type="dcterms:W3CDTF">2024-01-11T23:15:55Z</dcterms:modified>
  <cp:revision>1</cp:revision>
</cp:coreProperties>
</file>