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Glickman Barry</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TECHNIPFMC PLC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TechnipFMC plc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FTI</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5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01/28/2021</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9"/>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8"/>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945"/>
        <w:spacing w:after="0"/>
        <w:rPr>
          <w:sz w:val="20"/>
          <w:szCs w:val="20"/>
          <w:color w:val="auto"/>
        </w:rPr>
      </w:pPr>
      <w:r>
        <w:rPr>
          <w:rFonts w:ascii="Times New Roman" w:cs="Times New Roman" w:eastAsia="Times New Roman" w:hAnsi="Times New Roman"/>
          <w:sz w:val="17"/>
          <w:szCs w:val="17"/>
          <w:color w:val="0000FF"/>
        </w:rPr>
        <w:t>President, Surface</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10"/>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LONDON</w:t>
            </w:r>
          </w:p>
        </w:tc>
        <w:tc>
          <w:tcPr>
            <w:tcW w:w="28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rPr>
              <w:t>X0</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EC4M 8AP</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7"/>
                <w:szCs w:val="7"/>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800"/>
              <w:spacing w:after="0" w:line="129"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3140" w:type="dxa"/>
            <w:vAlign w:val="bottom"/>
            <w:gridSpan w:val="8"/>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20" w:type="dxa"/>
            <w:vAlign w:val="bottom"/>
            <w:gridSpan w:val="3"/>
          </w:tcPr>
          <w:p>
            <w:pPr>
              <w:ind w:left="8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p>
        </w:tc>
        <w:tc>
          <w:tcPr>
            <w:tcW w:w="28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900"/>
              <w:spacing w:after="0"/>
              <w:rPr>
                <w:sz w:val="20"/>
                <w:szCs w:val="20"/>
                <w:color w:val="auto"/>
              </w:rPr>
            </w:pPr>
            <w:r>
              <w:rPr>
                <w:rFonts w:ascii="Times New Roman" w:cs="Times New Roman" w:eastAsia="Times New Roman" w:hAnsi="Times New Roman"/>
                <w:sz w:val="17"/>
                <w:szCs w:val="17"/>
                <w:color w:val="0000FF"/>
              </w:rPr>
              <w:t>01/28/2021</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w w:val="97"/>
              </w:rPr>
              <w:t>6,188</w:t>
            </w:r>
            <w:r>
              <w:rPr>
                <w:rFonts w:ascii="Times New Roman" w:cs="Times New Roman" w:eastAsia="Times New Roman" w:hAnsi="Times New Roman"/>
                <w:sz w:val="22"/>
                <w:szCs w:val="22"/>
                <w:color w:val="008000"/>
                <w:w w:val="97"/>
                <w:vertAlign w:val="superscript"/>
              </w:rPr>
              <w:t>(1)</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380" w:type="dxa"/>
            <w:vAlign w:val="bottom"/>
            <w:tcBorders>
              <w:bottom w:val="single" w:sz="8" w:color="2C2C2C"/>
            </w:tcBorders>
            <w:gridSpan w:val="3"/>
          </w:tcPr>
          <w:p>
            <w:pPr>
              <w:ind w:left="480"/>
              <w:spacing w:after="0"/>
              <w:rPr>
                <w:sz w:val="20"/>
                <w:szCs w:val="20"/>
                <w:color w:val="auto"/>
              </w:rPr>
            </w:pPr>
            <w:r>
              <w:rPr>
                <w:rFonts w:ascii="Times New Roman" w:cs="Times New Roman" w:eastAsia="Times New Roman" w:hAnsi="Times New Roman"/>
                <w:sz w:val="17"/>
                <w:szCs w:val="17"/>
                <w:color w:val="0000FF"/>
              </w:rPr>
              <w:t>173,604</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4"/>
                <w:szCs w:val="14"/>
                <w:color w:val="auto"/>
              </w:rPr>
            </w:pP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vMerge w:val="continue"/>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-2879090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500" w:firstLine="7"/>
        <w:spacing w:after="0" w:line="271"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an award of performance stock units, which is scheduled to vest on February 26, 2021, in the form of Ordinary Shares based upon the Issuer's performance against certain performance criteria.</w:t>
      </w:r>
    </w:p>
    <w:p>
      <w:pPr>
        <w:sectPr>
          <w:pgSz w:w="11900" w:h="16838" w:orient="portrait"/>
          <w:cols w:equalWidth="0" w:num="1">
            <w:col w:w="11080"/>
          </w:cols>
          <w:pgMar w:left="460" w:top="219" w:right="359" w:bottom="1440" w:gutter="0" w:footer="0" w:header="0"/>
          <w:type w:val="continuous"/>
        </w:sectPr>
      </w:pP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4"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Lisa P. Wang,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69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6990" cy="8255"/>
                    </a:xfrm>
                    <a:prstGeom prst="rect">
                      <a:avLst/>
                    </a:prstGeom>
                    <a:noFill/>
                  </pic:spPr>
                </pic:pic>
              </a:graphicData>
            </a:graphic>
          </wp:anchor>
        </w:drawing>
      </w:r>
    </w:p>
    <w:p>
      <w:pPr>
        <w:spacing w:after="0" w:line="11"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23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230" cy="8255"/>
                    </a:xfrm>
                    <a:prstGeom prst="rect">
                      <a:avLst/>
                    </a:prstGeom>
                    <a:noFill/>
                  </pic:spPr>
                </pic:pic>
              </a:graphicData>
            </a:graphic>
          </wp:anchor>
        </w:drawing>
      </w:r>
    </w:p>
    <w:p>
      <w:pPr>
        <w:spacing w:after="0" w:line="36"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01/29/2021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5"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660" w:space="12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539926" TargetMode="External"/><Relationship Id="rId14"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2021-01-29T15:27:13Z</dcterms:created>
  <dcterms:modified xsi:type="dcterms:W3CDTF">2021-01-29T15:27:13Z</dcterms:modified>
</cp:coreProperties>
</file>