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01/03/2023</w:t>
      </w:r>
    </w:p>
    <w:p>
      <w:pPr>
        <w:pStyle w:val="Normal"/>
        <w:framePr w:w="2717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627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The sales reported in this Form 4 were effected pursuant to a Rule 10b5-1 trading plan.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1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12/29/2022</w:t>
      </w:r>
    </w:p>
    <w:p>
      <w:pPr>
        <w:pStyle w:val="Normal"/>
        <w:framePr w:w="416" w:hAnchor="page" w:vAnchor="page" w:x="6161" w:y="685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825" w:hAnchor="page" w:vAnchor="page" w:x="70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10,400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561" w:hAnchor="page" w:vAnchor="page" w:x="8456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138,545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99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82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51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905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9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712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905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9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5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712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905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9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5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712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905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9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5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12/29/2022</w:t>
      </w:r>
    </w:p>
    <w:p>
      <w:pPr>
        <w:pStyle w:val="Normal"/>
        <w:framePr w:w="1724" w:hAnchor="page" w:vAnchor="page" w:x="9569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President Subsea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80.35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81.05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81.05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40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81.05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40.7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0.7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9.6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40.7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00.4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00.4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2.3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00.4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3pt;margin-top:280.9pt;z-index:-16776872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3pt;margin-top:315.7pt;z-index:-16776868;width:10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3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00.4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00.4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3.8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00.4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4.55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4.55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2.3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4.55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3pt;margin-top:316.4pt;z-index:-1677677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3pt;margin-top:337pt;z-index:-1677677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3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80.35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81.05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81.05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40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81.05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40.7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40.7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9.6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0.7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300.4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00.4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3.8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00.4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4.55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4.55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2.3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4.55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3pt;margin-top:337.7pt;z-index:-1677664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3pt;margin-top:355.45pt;z-index:-167766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3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77.25pt;margin-top:150.9pt;z-index:-16776152;width:65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9.5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6.8pt;margin-top:343.4pt;z-index:-1677613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11.05pt;margin-top:343.4pt;z-index:-16776128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52.25pt;margin-top:341.25pt;z-index:-16776124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6.85pt;margin-top:341.25pt;z-index:-16776116;width:11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0.95pt;margin-top:341.25pt;z-index:-167761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48.7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57.9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0.0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69.3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54.4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63.6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546</Words>
  <Characters>2938</Characters>
  <Application>e-iceblue</Application>
  <DocSecurity>0</DocSecurity>
  <Lines>198</Lines>
  <Paragraphs>198</Paragraphs>
  <ScaleCrop>false</ScaleCrop>
  <Company>e-iceblue</Company>
  <LinksUpToDate>false</LinksUpToDate>
  <CharactersWithSpaces>3288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2023-01-03T22:41:06Z</dcterms:created>
  <dc:creator>root</dc:creator>
  <cp:lastModifiedBy>root</cp:lastModifiedBy>
  <dcterms:modified xsi:type="dcterms:W3CDTF">2023-01-03T22:41:06Z</dcterms:modified>
  <cp:revision>1</cp:revision>
</cp:coreProperties>
</file>