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841" w:hAnchor="page" w:vAnchor="page" w:x="647" w:y="13582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(4) Date Filed:</w:t>
      </w:r>
    </w:p>
    <w:p>
      <w:pPr>
        <w:pStyle w:val="Normal"/>
        <w:framePr w:w="1946" w:hAnchor="page" w:vAnchor="page" w:x="647" w:y="12933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(3) Filing Party:</w:t>
      </w:r>
    </w:p>
    <w:p>
      <w:pPr>
        <w:pStyle w:val="Normal"/>
        <w:framePr w:w="5605" w:hAnchor="page" w:vAnchor="page" w:x="647" w:y="12284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(2) Form, Schedule or Registration Statement No.:</w:t>
      </w:r>
    </w:p>
    <w:p>
      <w:pPr>
        <w:pStyle w:val="Normal"/>
        <w:framePr w:w="3271" w:hAnchor="page" w:vAnchor="page" w:x="647" w:y="1164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(1) Amount Previously Paid:</w:t>
      </w:r>
    </w:p>
    <w:p>
      <w:pPr>
        <w:pStyle w:val="Normal"/>
        <w:framePr w:w="1879" w:hAnchor="page" w:vAnchor="page" w:x="647" w:y="1133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 of its filing.</w:t>
      </w:r>
    </w:p>
    <w:p>
      <w:pPr>
        <w:pStyle w:val="Normal"/>
        <w:framePr w:w="13517" w:hAnchor="page" w:vAnchor="page" w:x="647" w:y="11118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fee was paid previously. Identify the previous filing by registration statement number, or the Form or Schedule and the</w:t>
      </w:r>
    </w:p>
    <w:p>
      <w:pPr>
        <w:pStyle w:val="Normal"/>
        <w:framePr w:w="13159" w:hAnchor="page" w:vAnchor="page" w:x="322" w:y="10892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Check box if any part of the fee is offset as provided by Exchange Act Rule 0-11(a)(2) and identify the filing for which the</w:t>
      </w:r>
    </w:p>
    <w:p>
      <w:pPr>
        <w:pStyle w:val="Normal"/>
        <w:framePr w:w="5468" w:hAnchor="page" w:vAnchor="page" w:x="322" w:y="10583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Fee paid previously with preliminary materials.</w:t>
      </w:r>
    </w:p>
    <w:p>
      <w:pPr>
        <w:pStyle w:val="Normal"/>
        <w:framePr w:w="2169" w:hAnchor="page" w:vAnchor="page" w:x="647" w:y="9938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(5) Total fee paid:</w:t>
      </w:r>
    </w:p>
    <w:p>
      <w:pPr>
        <w:pStyle w:val="Normal"/>
        <w:framePr w:w="6104" w:hAnchor="page" w:vAnchor="page" w:x="647" w:y="928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(4) Proposed maximum aggregate value of transaction:</w:t>
      </w:r>
    </w:p>
    <w:p>
      <w:pPr>
        <w:pStyle w:val="Normal"/>
        <w:framePr w:w="7139" w:hAnchor="page" w:vAnchor="page" w:x="1030" w:y="8654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the filing fee is calculated and state how it was determined):</w:t>
      </w:r>
    </w:p>
    <w:p>
      <w:pPr>
        <w:pStyle w:val="Normal"/>
        <w:framePr w:w="13746" w:hAnchor="page" w:vAnchor="page" w:x="647" w:y="8418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(3) Per unit price or other underlying value of transaction computed pursuant to Exchange Act Rule 0-11 (set forth the amount on</w:t>
      </w:r>
    </w:p>
    <w:p>
      <w:pPr>
        <w:pStyle w:val="Normal"/>
        <w:framePr w:w="7009" w:hAnchor="page" w:vAnchor="page" w:x="647" w:y="776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(2) Aggregate number of securities to which transaction applies:</w:t>
      </w:r>
    </w:p>
    <w:p>
      <w:pPr>
        <w:pStyle w:val="Normal"/>
        <w:framePr w:w="6934" w:hAnchor="page" w:vAnchor="page" w:x="647" w:y="713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(1) Title of each class of securities to which transaction applies:</w:t>
      </w:r>
    </w:p>
    <w:p>
      <w:pPr>
        <w:pStyle w:val="Normal"/>
        <w:framePr w:w="8534" w:hAnchor="page" w:vAnchor="page" w:x="322" w:y="6821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Fee computed on table below per Exchange Act Rules 14a-6(i)(1) and 0-11.</w:t>
      </w:r>
    </w:p>
    <w:p>
      <w:pPr>
        <w:pStyle w:val="Normal"/>
        <w:framePr w:w="2256" w:hAnchor="page" w:vAnchor="page" w:x="322" w:y="6511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☒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 fee required</w:t>
      </w:r>
    </w:p>
    <w:p>
      <w:pPr>
        <w:pStyle w:val="Normal"/>
        <w:framePr w:w="5591" w:hAnchor="page" w:vAnchor="page" w:x="278" w:y="6250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of Filing Fee (Check the appropriate box):</w:t>
      </w:r>
    </w:p>
    <w:p>
      <w:pPr>
        <w:pStyle w:val="Normal"/>
        <w:framePr w:w="4160" w:hAnchor="page" w:vAnchor="page" w:x="2739" w:y="5807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(Name of Person(s) Filing Proxy</w:t>
      </w:r>
    </w:p>
    <w:p>
      <w:pPr>
        <w:pStyle w:val="Normal"/>
        <w:framePr w:w="4776" w:hAnchor="page" w:vAnchor="page" w:x="5721" w:y="5807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Statement, if Other Than the Registrant)</w:t>
      </w:r>
    </w:p>
    <w:p>
      <w:pPr>
        <w:pStyle w:val="Normal"/>
        <w:framePr w:w="5589" w:hAnchor="page" w:vAnchor="page" w:x="3891" w:y="533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(Name of Registrant as Specified In Its Charter)</w:t>
      </w:r>
    </w:p>
    <w:p>
      <w:pPr>
        <w:pStyle w:val="Normal"/>
        <w:framePr w:w="5104" w:hAnchor="page" w:vAnchor="page" w:x="4035" w:y="4761"/>
        <w:widowControl w:val="off"/>
        <w:autoSpaceDE w:val="off"/>
        <w:autoSpaceDN w:val="off"/>
        <w:spacing w:before="0" w:after="0" w:line="527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7"/>
          <w:szCs w:val="47"/>
        </w:rPr>
      </w:pPr>
      <w:r>
        <w:rPr>
          <w:rFonts w:ascii="Arial-BoldMT" w:hAnsi="Arial-BoldMT" w:fareast="Arial-BoldMT" w:cs="Arial-BoldMT"/>
          <w:color w:val="000000"/>
          <w:w w:val="100"/>
          <w:sz w:val="47"/>
          <w:szCs w:val="47"/>
        </w:rPr>
        <w:t>TECHNIPFMC PLC</w:t>
      </w:r>
    </w:p>
    <w:p>
      <w:pPr>
        <w:pStyle w:val="Normal"/>
        <w:framePr w:w="4980" w:hAnchor="page" w:vAnchor="page" w:x="322" w:y="4268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Soliciting Material Pursuant § 240.14a-12</w:t>
      </w:r>
    </w:p>
    <w:p>
      <w:pPr>
        <w:pStyle w:val="Normal"/>
        <w:framePr w:w="3760" w:hAnchor="page" w:vAnchor="page" w:x="322" w:y="3959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☒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Definitive Additional Materials</w:t>
      </w:r>
    </w:p>
    <w:p>
      <w:pPr>
        <w:pStyle w:val="Normal"/>
        <w:framePr w:w="3445" w:hAnchor="page" w:vAnchor="page" w:x="322" w:y="3649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Definitive Proxy Statement</w:t>
      </w:r>
    </w:p>
    <w:p>
      <w:pPr>
        <w:pStyle w:val="Normal"/>
        <w:framePr w:w="6092" w:hAnchor="page" w:vAnchor="page" w:x="322" w:y="3339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Confidential, for Use of the Commission Only</w:t>
      </w:r>
    </w:p>
    <w:p>
      <w:pPr>
        <w:pStyle w:val="Normal"/>
        <w:framePr w:w="2469" w:hAnchor="page" w:vAnchor="page" w:x="4915" w:y="3344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(as permitted by</w:t>
      </w:r>
    </w:p>
    <w:p>
      <w:pPr>
        <w:pStyle w:val="Normal"/>
        <w:framePr w:w="2141" w:hAnchor="page" w:vAnchor="page" w:x="6488" w:y="3344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Rule 14a-6(e)(2))</w:t>
      </w:r>
    </w:p>
    <w:p>
      <w:pPr>
        <w:pStyle w:val="Normal"/>
        <w:framePr w:w="3655" w:hAnchor="page" w:vAnchor="page" w:x="322" w:y="3029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☐  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Preliminary Proxy Statement</w:t>
      </w:r>
    </w:p>
    <w:p>
      <w:pPr>
        <w:pStyle w:val="Normal"/>
        <w:framePr w:w="3073" w:hAnchor="page" w:vAnchor="page" w:x="278" w:y="2768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Check the appropriate box:</w:t>
      </w:r>
    </w:p>
    <w:p>
      <w:pPr>
        <w:pStyle w:val="Normal"/>
        <w:framePr w:w="5082" w:hAnchor="page" w:vAnchor="page" w:x="278" w:y="2542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Filed by a Party other than the Registrant   </w:t>
      </w: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074" w:hAnchor="page" w:vAnchor="page" w:x="278" w:y="2321"/>
        <w:widowControl w:val="off"/>
        <w:autoSpaceDE w:val="off"/>
        <w:autoSpaceDN w:val="off"/>
        <w:spacing w:before="0" w:after="0" w:line="229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Filed by the Registrant    </w:t>
      </w: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☒</w:t>
      </w:r>
    </w:p>
    <w:p>
      <w:pPr>
        <w:pStyle w:val="Normal"/>
        <w:framePr w:w="6166" w:hAnchor="page" w:vAnchor="page" w:x="3651" w:y="1883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Securities Exchange Act of 1934 (Amendment No.    )</w:t>
      </w:r>
    </w:p>
    <w:p>
      <w:pPr>
        <w:pStyle w:val="Normal"/>
        <w:framePr w:w="1237" w:hAnchor="page" w:vAnchor="page" w:x="3837" w:y="1662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Proxy</w:t>
      </w:r>
    </w:p>
    <w:p>
      <w:pPr>
        <w:pStyle w:val="Normal"/>
        <w:framePr w:w="5065" w:hAnchor="page" w:vAnchor="page" w:x="4383" w:y="1662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Statement Pursuant to Section 14(a) of the</w:t>
      </w:r>
    </w:p>
    <w:p>
      <w:pPr>
        <w:pStyle w:val="Normal"/>
        <w:framePr w:w="6177" w:hAnchor="page" w:vAnchor="page" w:x="3487" w:y="1254"/>
        <w:widowControl w:val="off"/>
        <w:autoSpaceDE w:val="off"/>
        <w:autoSpaceDN w:val="off"/>
        <w:spacing w:before="0" w:after="0" w:line="39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5"/>
          <w:szCs w:val="35"/>
        </w:rPr>
      </w:pPr>
      <w:r>
        <w:rPr>
          <w:rFonts w:ascii="Arial-BoldMT" w:hAnsi="Arial-BoldMT" w:fareast="Arial-BoldMT" w:cs="Arial-BoldMT"/>
          <w:color w:val="000000"/>
          <w:w w:val="100"/>
          <w:sz w:val="35"/>
          <w:szCs w:val="35"/>
        </w:rPr>
        <w:t>SCHEDULE 14A INFORMATION</w:t>
      </w:r>
    </w:p>
    <w:p>
      <w:pPr>
        <w:pStyle w:val="Normal"/>
        <w:framePr w:w="2906" w:hAnchor="page" w:vAnchor="page" w:x="5009" w:y="1027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Washington, D.C. 20549</w:t>
      </w:r>
    </w:p>
    <w:p>
      <w:pPr>
        <w:pStyle w:val="Normal"/>
        <w:framePr w:w="5775" w:hAnchor="page" w:vAnchor="page" w:x="3615" w:y="756"/>
        <w:widowControl w:val="off"/>
        <w:autoSpaceDE w:val="off"/>
        <w:autoSpaceDN w:val="off"/>
        <w:spacing w:before="0" w:after="0" w:line="26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288" w:hAnchor="page" w:vAnchor="page" w:x="5200" w:y="490"/>
        <w:widowControl w:val="off"/>
        <w:autoSpaceDE w:val="off"/>
        <w:autoSpaceDN w:val="off"/>
        <w:spacing w:before="0" w:after="0" w:line="26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2.9pt;margin-top:6.9pt;z-index:-16777208;width:586.2pt;height:1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2.9pt;margin-top:6.9pt;z-index:-16777204;width:586.2pt;height: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2.9pt;margin-top:17.25pt;z-index:-16777200;width:58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2.9pt;margin-top:287.95pt;z-index:-16777196;width:586.2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2.9pt;margin-top:264.35pt;z-index:-16777192;width:586.2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8.3pt;margin-top:707.65pt;z-index:-16777188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48.3pt;margin-top:675.2pt;z-index:-16777184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48.3pt;margin-top:642.75pt;z-index:-16777180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48.3pt;margin-top:610.3pt;z-index:-16777176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48.3pt;margin-top:525.45pt;z-index:-16777172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8.3pt;margin-top:493pt;z-index:-16777168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48.3pt;margin-top:460.55pt;z-index:-16777164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8.3pt;margin-top:417pt;z-index:-16777160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48.3pt;margin-top:384.55pt;z-index:-16777156;width:5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2.9pt;margin-top:714.3pt;z-index:-16777152;width:586.2pt;height:1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2.9pt;margin-top:714.3pt;z-index:-16777148;width:58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2.9pt;margin-top:722.4pt;z-index:-16777144;width:586.2pt;height: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2.9pt;margin-top:734.95pt;z-index:-16777140;width:586.2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7pt;margin-top:1pt;z-index:-16777136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2.9pt;margin-top:785.85pt;z-index:-16777132;width:586.2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.9pt;margin-top:2pt;z-index:-1677712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7pt;margin-top:1pt;z-index:-16777124;width:598pt;height:77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2.9pt;margin-top:769.6pt;z-index:-16777120;width:586.2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.9pt;margin-top:2pt;z-index:-16777116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</w:p>
    <w:sectPr>
      <w:pgSz w:w="12240" w:h="20160"/>
      <w:pgMar w:top="400" w:right="400" w:bottom="400" w:left="400" w:header="720" w:footer="720"/>
      <w:pgNumType w:start="3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1" Target="media/image11.png" Type="http://schemas.openxmlformats.org/officeDocument/2006/relationships/image"/><Relationship Id="rId12" Target="media/image12.png" Type="http://schemas.openxmlformats.org/officeDocument/2006/relationships/image"/><Relationship Id="rId13" Target="media/image13.png" Type="http://schemas.openxmlformats.org/officeDocument/2006/relationships/image"/><Relationship Id="rId14" Target="media/image14.png" Type="http://schemas.openxmlformats.org/officeDocument/2006/relationships/image"/><Relationship Id="rId15" Target="media/image15.png" Type="http://schemas.openxmlformats.org/officeDocument/2006/relationships/image"/><Relationship Id="rId16" Target="media/image16.png" Type="http://schemas.openxmlformats.org/officeDocument/2006/relationships/image"/><Relationship Id="rId17" Target="media/image17.png" Type="http://schemas.openxmlformats.org/officeDocument/2006/relationships/image"/><Relationship Id="rId18" Target="media/image18.png" Type="http://schemas.openxmlformats.org/officeDocument/2006/relationships/image"/><Relationship Id="rId19" Target="media/image1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1" Target="media/image21.png" Type="http://schemas.openxmlformats.org/officeDocument/2006/relationships/image"/><Relationship Id="rId22" Target="media/image22.png" Type="http://schemas.openxmlformats.org/officeDocument/2006/relationships/image"/><Relationship Id="rId23" Target="media/image23.png" Type="http://schemas.openxmlformats.org/officeDocument/2006/relationships/image"/><Relationship Id="rId24" Target="media/image24.png" Type="http://schemas.openxmlformats.org/officeDocument/2006/relationships/image"/><Relationship Id="rId25" Target="media/image25.png" Type="http://schemas.openxmlformats.org/officeDocument/2006/relationships/image"/><Relationship Id="rId26" Target="styles.xml" Type="http://schemas.openxmlformats.org/officeDocument/2006/relationships/styles"/><Relationship Id="rId27" Target="fontTable.xml" Type="http://schemas.openxmlformats.org/officeDocument/2006/relationships/fontTable"/><Relationship Id="rId28" Target="settings.xml" Type="http://schemas.openxmlformats.org/officeDocument/2006/relationships/settings"/><Relationship Id="rId29" Target="webSettings.xml" Type="http://schemas.openxmlformats.org/officeDocument/2006/relationships/webSettings"/><Relationship Id="rId3" Target="media/image3.png" Type="http://schemas.openxmlformats.org/officeDocument/2006/relationships/image"/><Relationship Id="rId4" Target="media/image4.png" Type="http://schemas.openxmlformats.org/officeDocument/2006/relationships/image"/><Relationship Id="rId5" Target="media/image5.png" Type="http://schemas.openxmlformats.org/officeDocument/2006/relationships/image"/><Relationship Id="rId6" Target="media/image6.png" Type="http://schemas.openxmlformats.org/officeDocument/2006/relationships/image"/><Relationship Id="rId7" Target="media/image7.png" Type="http://schemas.openxmlformats.org/officeDocument/2006/relationships/image"/><Relationship Id="rId8" Target="media/image8.png" Type="http://schemas.openxmlformats.org/officeDocument/2006/relationships/image"/><Relationship Id="rId9" Target="media/image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3</Pages>
  <Words>261</Words>
  <Characters>1376</Characters>
  <Application>e-iceblue</Application>
  <DocSecurity>0</DocSecurity>
  <Lines>38</Lines>
  <Paragraphs>38</Paragraphs>
  <ScaleCrop>false</ScaleCrop>
  <Company>e-iceblue</Company>
  <LinksUpToDate>false</LinksUpToDate>
  <CharactersWithSpaces>1641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2022-03-18T20:49:30Z</dcterms:created>
  <dc:creator>root</dc:creator>
  <cp:lastModifiedBy>root</cp:lastModifiedBy>
  <dcterms:modified xsi:type="dcterms:W3CDTF">2022-03-18T20:49:30Z</dcterms:modified>
  <cp:revision>1</cp:revision>
</cp:coreProperties>
</file>