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9602" w:hAnchor="page" w:vAnchor="page" w:x="270" w:y="734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153" w:hAnchor="page" w:vAnchor="page" w:x="7878" w:y="734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.</w:t>
      </w:r>
    </w:p>
    <w:p>
      <w:pPr>
        <w:pStyle w:val="Normal"/>
        <w:framePr w:w="7027" w:hAnchor="page" w:vAnchor="page" w:x="270" w:y="7195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0"/>
          <w:szCs w:val="10"/>
        </w:rPr>
        <w:t>see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Instruction 6 for procedure.</w:t>
      </w:r>
    </w:p>
    <w:p>
      <w:pPr>
        <w:pStyle w:val="Normal"/>
        <w:framePr w:w="7051" w:hAnchor="page" w:vAnchor="page" w:x="270" w:y="7045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0"/>
          <w:szCs w:val="10"/>
        </w:rPr>
        <w:t>See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18 U.S.C. 1001 and 15 U.S.C. 78ff(a).</w:t>
      </w:r>
    </w:p>
    <w:p>
      <w:pPr>
        <w:pStyle w:val="Normal"/>
        <w:framePr w:w="4472" w:hAnchor="page" w:vAnchor="page" w:x="270" w:y="6895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0"/>
          <w:szCs w:val="10"/>
        </w:rPr>
        <w:t>see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Instruction 5 (b)(v).</w:t>
      </w:r>
    </w:p>
    <w:p>
      <w:pPr>
        <w:pStyle w:val="Normal"/>
        <w:framePr w:w="6121" w:hAnchor="page" w:vAnchor="page" w:x="270" w:y="6745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Reminder: Report on a separate line for each class of securities beneficially owned directly or indirectly</w:t>
      </w:r>
    </w:p>
    <w:p>
      <w:pPr>
        <w:pStyle w:val="Normal"/>
        <w:framePr w:w="153" w:hAnchor="page" w:vAnchor="page" w:x="4813" w:y="6745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.</w:t>
      </w:r>
    </w:p>
    <w:p>
      <w:pPr>
        <w:pStyle w:val="Normal"/>
        <w:framePr w:w="1863" w:hAnchor="page" w:vAnchor="page" w:x="7306" w:y="6595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** Signature of Reporting Person</w:t>
      </w:r>
    </w:p>
    <w:p>
      <w:pPr>
        <w:pStyle w:val="Normal"/>
        <w:framePr w:w="374" w:hAnchor="page" w:vAnchor="page" w:x="9658" w:y="6595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Date</w:t>
      </w:r>
    </w:p>
    <w:p>
      <w:pPr>
        <w:pStyle w:val="Normal"/>
        <w:framePr w:w="2220" w:hAnchor="page" w:vAnchor="page" w:x="7306" w:y="6399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/s/ Olivia Reed, Attorney-in-Fact</w:t>
      </w:r>
    </w:p>
    <w:p>
      <w:pPr>
        <w:pStyle w:val="Normal"/>
        <w:framePr w:w="867" w:hAnchor="page" w:vAnchor="page" w:x="9658" w:y="6399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02/21/2023</w:t>
      </w:r>
    </w:p>
    <w:p>
      <w:pPr>
        <w:pStyle w:val="Normal"/>
        <w:framePr w:w="868" w:hAnchor="page" w:vAnchor="page" w:x="270" w:y="6147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Remarks:</w:t>
      </w:r>
    </w:p>
    <w:p>
      <w:pPr>
        <w:pStyle w:val="Normal"/>
        <w:framePr w:w="1662" w:hAnchor="page" w:vAnchor="page" w:x="270" w:y="599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Explanation of Responses:</w:t>
      </w:r>
    </w:p>
    <w:p>
      <w:pPr>
        <w:pStyle w:val="Normal"/>
        <w:framePr w:w="788" w:hAnchor="page" w:vAnchor="page" w:x="4313" w:y="579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Exercisable</w:t>
      </w:r>
    </w:p>
    <w:p>
      <w:pPr>
        <w:pStyle w:val="Normal"/>
        <w:framePr w:w="380" w:hAnchor="page" w:vAnchor="page" w:x="4974" w:y="579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Date</w:t>
      </w:r>
    </w:p>
    <w:p>
      <w:pPr>
        <w:pStyle w:val="Normal"/>
        <w:framePr w:w="365" w:hAnchor="page" w:vAnchor="page" w:x="5565" w:y="579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Title</w:t>
      </w:r>
    </w:p>
    <w:p>
      <w:pPr>
        <w:pStyle w:val="Normal"/>
        <w:framePr w:w="521" w:hAnchor="page" w:vAnchor="page" w:x="7856" w:y="579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Shares</w:t>
      </w:r>
    </w:p>
    <w:p>
      <w:pPr>
        <w:pStyle w:val="Normal"/>
        <w:framePr w:w="380" w:hAnchor="page" w:vAnchor="page" w:x="4313" w:y="568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Date</w:t>
      </w:r>
    </w:p>
    <w:p>
      <w:pPr>
        <w:pStyle w:val="Normal"/>
        <w:framePr w:w="707" w:hAnchor="page" w:vAnchor="page" w:x="4974" w:y="568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Expiration</w:t>
      </w:r>
    </w:p>
    <w:p>
      <w:pPr>
        <w:pStyle w:val="Normal"/>
        <w:framePr w:w="721" w:hAnchor="page" w:vAnchor="page" w:x="7856" w:y="568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Number of</w:t>
      </w:r>
    </w:p>
    <w:p>
      <w:pPr>
        <w:pStyle w:val="Normal"/>
        <w:framePr w:w="727" w:hAnchor="page" w:vAnchor="page" w:x="7856" w:y="557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Amount or</w:t>
      </w:r>
    </w:p>
    <w:p>
      <w:pPr>
        <w:pStyle w:val="Normal"/>
        <w:framePr w:w="767" w:hAnchor="page" w:vAnchor="page" w:x="8557" w:y="558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Security</w:t>
      </w:r>
    </w:p>
    <w:p>
      <w:pPr>
        <w:pStyle w:val="Normal"/>
        <w:framePr w:w="694" w:hAnchor="page" w:vAnchor="page" w:x="8557" w:y="547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Derivative</w:t>
      </w:r>
    </w:p>
    <w:p>
      <w:pPr>
        <w:pStyle w:val="Normal"/>
        <w:framePr w:w="587" w:hAnchor="page" w:vAnchor="page" w:x="9378" w:y="547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(Instr. 5)</w:t>
      </w:r>
    </w:p>
    <w:p>
      <w:pPr>
        <w:pStyle w:val="Normal"/>
        <w:framePr w:w="1101" w:hAnchor="page" w:vAnchor="page" w:x="4313" w:y="536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(Month/Day/Year)</w:t>
      </w:r>
    </w:p>
    <w:p>
      <w:pPr>
        <w:pStyle w:val="Normal"/>
        <w:framePr w:w="561" w:hAnchor="page" w:vAnchor="page" w:x="8557" w:y="536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Price of</w:t>
      </w:r>
    </w:p>
    <w:p>
      <w:pPr>
        <w:pStyle w:val="Normal"/>
        <w:framePr w:w="854" w:hAnchor="page" w:vAnchor="page" w:x="9378" w:y="536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or Indirect (I)</w:t>
      </w:r>
    </w:p>
    <w:p>
      <w:pPr>
        <w:pStyle w:val="Normal"/>
        <w:framePr w:w="1001" w:hAnchor="page" w:vAnchor="page" w:x="4313" w:y="525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Expiration Date</w:t>
      </w:r>
    </w:p>
    <w:p>
      <w:pPr>
        <w:pStyle w:val="Normal"/>
        <w:framePr w:w="1274" w:hAnchor="page" w:vAnchor="page" w:x="5565" w:y="525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Security (Instr. 4)</w:t>
      </w:r>
    </w:p>
    <w:p>
      <w:pPr>
        <w:pStyle w:val="Normal"/>
        <w:framePr w:w="768" w:hAnchor="page" w:vAnchor="page" w:x="8557" w:y="525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or Exercise</w:t>
      </w:r>
    </w:p>
    <w:p>
      <w:pPr>
        <w:pStyle w:val="Normal"/>
        <w:framePr w:w="1034" w:hAnchor="page" w:vAnchor="page" w:x="9378" w:y="525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Form: Direct (D)</w:t>
      </w:r>
    </w:p>
    <w:p>
      <w:pPr>
        <w:pStyle w:val="Normal"/>
        <w:framePr w:w="1241" w:hAnchor="page" w:vAnchor="page" w:x="10309" w:y="525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Ownership (Instr. 5)</w:t>
      </w:r>
    </w:p>
    <w:p>
      <w:pPr>
        <w:pStyle w:val="Normal"/>
        <w:framePr w:w="2440" w:hAnchor="page" w:vAnchor="page" w:x="300" w:y="514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1. Title of Derivative Security (Instr. 4)</w:t>
      </w:r>
    </w:p>
    <w:p>
      <w:pPr>
        <w:pStyle w:val="Normal"/>
        <w:framePr w:w="1462" w:hAnchor="page" w:vAnchor="page" w:x="4313" w:y="514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2. Date Exercisable and</w:t>
      </w:r>
    </w:p>
    <w:p>
      <w:pPr>
        <w:pStyle w:val="Normal"/>
        <w:framePr w:w="3428" w:hAnchor="page" w:vAnchor="page" w:x="5565" w:y="514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3. Title and Amount of Securities Underlying Derivative</w:t>
      </w:r>
    </w:p>
    <w:p>
      <w:pPr>
        <w:pStyle w:val="Normal"/>
        <w:framePr w:w="914" w:hAnchor="page" w:vAnchor="page" w:x="8557" w:y="514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4. Conversion</w:t>
      </w:r>
    </w:p>
    <w:p>
      <w:pPr>
        <w:pStyle w:val="Normal"/>
        <w:framePr w:w="874" w:hAnchor="page" w:vAnchor="page" w:x="9378" w:y="514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5. Ownership</w:t>
      </w:r>
    </w:p>
    <w:p>
      <w:pPr>
        <w:pStyle w:val="Normal"/>
        <w:framePr w:w="1849" w:hAnchor="page" w:vAnchor="page" w:x="10309" w:y="5144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6. Nature of Indirect Beneficial</w:t>
      </w:r>
    </w:p>
    <w:p>
      <w:pPr>
        <w:pStyle w:val="Normal"/>
        <w:framePr w:w="4459" w:hAnchor="page" w:vAnchor="page" w:x="4327" w:y="4896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(e.g., puts, calls, warrants, options, convertible securities)</w:t>
      </w:r>
    </w:p>
    <w:p>
      <w:pPr>
        <w:pStyle w:val="Normal"/>
        <w:framePr w:w="4058" w:hAnchor="page" w:vAnchor="page" w:x="4588" w:y="4746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Table II - Derivative Securities Beneficially Owned</w:t>
      </w:r>
    </w:p>
    <w:p>
      <w:pPr>
        <w:pStyle w:val="Normal"/>
        <w:framePr w:w="2523" w:hAnchor="page" w:vAnchor="page" w:x="300" w:y="446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No Securities are Beneficially Owned</w:t>
      </w:r>
    </w:p>
    <w:p>
      <w:pPr>
        <w:pStyle w:val="Normal"/>
        <w:framePr w:w="234" w:hAnchor="page" w:vAnchor="page" w:x="6508" w:y="446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</w:t>
      </w:r>
    </w:p>
    <w:p>
      <w:pPr>
        <w:pStyle w:val="Normal"/>
        <w:framePr w:w="269" w:hAnchor="page" w:vAnchor="page" w:x="8255" w:y="446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D</w:t>
      </w:r>
    </w:p>
    <w:p>
      <w:pPr>
        <w:pStyle w:val="Normal"/>
        <w:framePr w:w="587" w:hAnchor="page" w:vAnchor="page" w:x="7706" w:y="4253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(Instr. 5)</w:t>
      </w:r>
    </w:p>
    <w:p>
      <w:pPr>
        <w:pStyle w:val="Normal"/>
        <w:framePr w:w="587" w:hAnchor="page" w:vAnchor="page" w:x="5474" w:y="4143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(Instr. 4)</w:t>
      </w:r>
    </w:p>
    <w:p>
      <w:pPr>
        <w:pStyle w:val="Normal"/>
        <w:framePr w:w="1428" w:hAnchor="page" w:vAnchor="page" w:x="7706" w:y="4143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Direct (D) or Indirect (I)</w:t>
      </w:r>
    </w:p>
    <w:p>
      <w:pPr>
        <w:pStyle w:val="Normal"/>
        <w:framePr w:w="1833" w:hAnchor="page" w:vAnchor="page" w:x="300" w:y="4033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1. Title of Security (Instr. 4)</w:t>
      </w:r>
    </w:p>
    <w:p>
      <w:pPr>
        <w:pStyle w:val="Normal"/>
        <w:framePr w:w="3926" w:hAnchor="page" w:vAnchor="page" w:x="5474" w:y="4033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2. Amount of Securities Beneficially Owned 3. Ownership Form:</w:t>
      </w:r>
    </w:p>
    <w:p>
      <w:pPr>
        <w:pStyle w:val="Normal"/>
        <w:framePr w:w="3003" w:hAnchor="page" w:vAnchor="page" w:x="8997" w:y="4033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4. Nature of Indirect Beneficial Ownership (Instr. 5)</w:t>
      </w:r>
    </w:p>
    <w:p>
      <w:pPr>
        <w:pStyle w:val="Normal"/>
        <w:framePr w:w="4370" w:hAnchor="page" w:vAnchor="page" w:x="4458" w:y="3785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Table I - Non-Derivative Securities Beneficially Owned</w:t>
      </w:r>
    </w:p>
    <w:p>
      <w:pPr>
        <w:pStyle w:val="Normal"/>
        <w:framePr w:w="587" w:hAnchor="page" w:vAnchor="page" w:x="330" w:y="352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(City)</w:t>
      </w:r>
    </w:p>
    <w:p>
      <w:pPr>
        <w:pStyle w:val="Normal"/>
        <w:framePr w:w="480" w:hAnchor="page" w:vAnchor="page" w:x="1461" w:y="352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(State)</w:t>
      </w:r>
    </w:p>
    <w:p>
      <w:pPr>
        <w:pStyle w:val="Normal"/>
        <w:framePr w:w="367" w:hAnchor="page" w:vAnchor="page" w:x="2592" w:y="352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(Zip)</w:t>
      </w:r>
    </w:p>
    <w:p>
      <w:pPr>
        <w:pStyle w:val="Normal"/>
        <w:framePr w:w="1036" w:hAnchor="page" w:vAnchor="page" w:x="330" w:y="312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UPON TYNE</w:t>
      </w:r>
    </w:p>
    <w:p>
      <w:pPr>
        <w:pStyle w:val="Normal"/>
        <w:framePr w:w="347" w:hAnchor="page" w:vAnchor="page" w:x="1461" w:y="304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X0</w:t>
      </w:r>
    </w:p>
    <w:p>
      <w:pPr>
        <w:pStyle w:val="Normal"/>
        <w:framePr w:w="741" w:hAnchor="page" w:vAnchor="page" w:x="2592" w:y="304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NE6 3PL</w:t>
      </w:r>
    </w:p>
    <w:p>
      <w:pPr>
        <w:pStyle w:val="Normal"/>
        <w:framePr w:w="1101" w:hAnchor="page" w:vAnchor="page" w:x="330" w:y="296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NEWCASTLE</w:t>
      </w:r>
    </w:p>
    <w:p>
      <w:pPr>
        <w:pStyle w:val="Normal"/>
        <w:framePr w:w="2797" w:hAnchor="page" w:vAnchor="page" w:x="9548" w:y="298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Form filed by More than One Reporting Person</w:t>
      </w:r>
    </w:p>
    <w:p>
      <w:pPr>
        <w:pStyle w:val="Normal"/>
        <w:framePr w:w="520" w:hAnchor="page" w:vAnchor="page" w:x="300" w:y="282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(Street)</w:t>
      </w:r>
    </w:p>
    <w:p>
      <w:pPr>
        <w:pStyle w:val="Normal"/>
        <w:framePr w:w="269" w:hAnchor="page" w:vAnchor="page" w:x="9261" w:y="278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X</w:t>
      </w:r>
    </w:p>
    <w:p>
      <w:pPr>
        <w:pStyle w:val="Normal"/>
        <w:framePr w:w="2223" w:hAnchor="page" w:vAnchor="page" w:x="9548" w:y="280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Form filed by One Reporting Person</w:t>
      </w:r>
    </w:p>
    <w:p>
      <w:pPr>
        <w:pStyle w:val="Normal"/>
        <w:framePr w:w="1373" w:hAnchor="page" w:vAnchor="page" w:x="6115" w:y="269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Officer (give title below)</w:t>
      </w:r>
    </w:p>
    <w:p>
      <w:pPr>
        <w:pStyle w:val="Normal"/>
        <w:framePr w:w="1435" w:hAnchor="page" w:vAnchor="page" w:x="7816" w:y="269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Other (specify below)</w:t>
      </w:r>
    </w:p>
    <w:p>
      <w:pPr>
        <w:pStyle w:val="Normal"/>
        <w:framePr w:w="3177" w:hAnchor="page" w:vAnchor="page" w:x="9077" w:y="264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6. Individual or Joint/Group Filing (Check Applicable Line)</w:t>
      </w:r>
    </w:p>
    <w:p>
      <w:pPr>
        <w:pStyle w:val="Normal"/>
        <w:framePr w:w="269" w:hAnchor="page" w:vAnchor="page" w:x="5788" w:y="249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X</w:t>
      </w:r>
    </w:p>
    <w:p>
      <w:pPr>
        <w:pStyle w:val="Normal"/>
        <w:framePr w:w="540" w:hAnchor="page" w:vAnchor="page" w:x="6115" w:y="251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Director</w:t>
      </w:r>
    </w:p>
    <w:p>
      <w:pPr>
        <w:pStyle w:val="Normal"/>
        <w:framePr w:w="747" w:hAnchor="page" w:vAnchor="page" w:x="7816" w:y="251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10% Owner</w:t>
      </w:r>
    </w:p>
    <w:p>
      <w:pPr>
        <w:pStyle w:val="Normal"/>
        <w:framePr w:w="1696" w:hAnchor="page" w:vAnchor="page" w:x="330" w:y="245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WINCOMBLEE ROAD</w:t>
      </w:r>
    </w:p>
    <w:p>
      <w:pPr>
        <w:pStyle w:val="Normal"/>
        <w:framePr w:w="1268" w:hAnchor="page" w:vAnchor="page" w:x="5565" w:y="235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(Check all applicable)</w:t>
      </w:r>
    </w:p>
    <w:p>
      <w:pPr>
        <w:pStyle w:val="Normal"/>
        <w:framePr w:w="1435" w:hAnchor="page" w:vAnchor="page" w:x="330" w:y="225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HADRIAN HOUSE</w:t>
      </w:r>
    </w:p>
    <w:p>
      <w:pPr>
        <w:pStyle w:val="Normal"/>
        <w:framePr w:w="2682" w:hAnchor="page" w:vAnchor="page" w:x="5565" w:y="224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4. Relationship of Reporting Person(s) to Issuer </w:t>
      </w:r>
    </w:p>
    <w:p>
      <w:pPr>
        <w:pStyle w:val="Normal"/>
        <w:framePr w:w="3166" w:hAnchor="page" w:vAnchor="page" w:x="9077" w:y="224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5. If Amendment, Date of Original Filed (Month/Day/Year)</w:t>
      </w:r>
    </w:p>
    <w:p>
      <w:pPr>
        <w:pStyle w:val="Normal"/>
        <w:framePr w:w="427" w:hAnchor="page" w:vAnchor="page" w:x="330" w:y="20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(Last)</w:t>
      </w:r>
    </w:p>
    <w:p>
      <w:pPr>
        <w:pStyle w:val="Normal"/>
        <w:framePr w:w="433" w:hAnchor="page" w:vAnchor="page" w:x="1461" w:y="20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(First)</w:t>
      </w:r>
    </w:p>
    <w:p>
      <w:pPr>
        <w:pStyle w:val="Normal"/>
        <w:framePr w:w="554" w:hAnchor="page" w:vAnchor="page" w:x="2592" w:y="20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(Middle)</w:t>
      </w:r>
    </w:p>
    <w:p>
      <w:pPr>
        <w:pStyle w:val="Normal"/>
        <w:framePr w:w="867" w:hAnchor="page" w:vAnchor="page" w:x="3813" w:y="171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02/01/2023</w:t>
      </w:r>
    </w:p>
    <w:p>
      <w:pPr>
        <w:pStyle w:val="Normal"/>
        <w:framePr w:w="1696" w:hAnchor="page" w:vAnchor="page" w:x="330" w:y="165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16"/>
          <w:szCs w:val="16"/>
        </w:rPr>
        <w:t>GWIN ROBERT G</w:t>
      </w:r>
    </w:p>
    <w:p>
      <w:pPr>
        <w:pStyle w:val="Normal"/>
        <w:framePr w:w="1638" w:hAnchor="page" w:vAnchor="page" w:x="3813" w:y="160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Statement (Month/Day/Year)</w:t>
      </w:r>
    </w:p>
    <w:p>
      <w:pPr>
        <w:pStyle w:val="Normal"/>
        <w:framePr w:w="1994" w:hAnchor="page" w:vAnchor="page" w:x="5565" w:y="159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16"/>
          <w:szCs w:val="16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 ]</w:t>
      </w:r>
    </w:p>
    <w:p>
      <w:pPr>
        <w:pStyle w:val="Normal"/>
        <w:framePr w:w="2410" w:hAnchor="page" w:vAnchor="page" w:x="300" w:y="149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8"/>
          <w:szCs w:val="8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1. Name and Address of Reporting Person</w:t>
      </w:r>
      <w:r>
        <w:rPr>
          <w:rFonts w:ascii="ArialMT" w:hAnsi="ArialMT" w:fareast="ArialMT" w:cs="ArialMT"/>
          <w:color w:val="000000"/>
          <w:w w:val="100"/>
          <w:sz w:val="8"/>
          <w:szCs w:val="8"/>
        </w:rPr>
        <w:t>*</w:t>
      </w:r>
    </w:p>
    <w:p>
      <w:pPr>
        <w:pStyle w:val="Normal"/>
        <w:framePr w:w="1529" w:hAnchor="page" w:vAnchor="page" w:x="3813" w:y="149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2. Date of Event Requiring</w:t>
      </w:r>
    </w:p>
    <w:p>
      <w:pPr>
        <w:pStyle w:val="Normal"/>
        <w:framePr w:w="2727" w:hAnchor="page" w:vAnchor="page" w:x="5565" w:y="149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3. Issuer Name </w:t>
      </w: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and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Ticker or Trading Symbol</w:t>
      </w:r>
    </w:p>
    <w:p>
      <w:pPr>
        <w:pStyle w:val="Normal"/>
        <w:framePr w:w="3298" w:hAnchor="page" w:vAnchor="page" w:x="4871" w:y="12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or Section 30(h) of the Investment Company Act of 1940</w:t>
      </w:r>
    </w:p>
    <w:p>
      <w:pPr>
        <w:pStyle w:val="Normal"/>
        <w:framePr w:w="3865" w:hAnchor="page" w:vAnchor="page" w:x="4559" w:y="1170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Filed pursuant to Section 16(a) of the Securities Exchange Act of 1934</w:t>
      </w:r>
    </w:p>
    <w:p>
      <w:pPr>
        <w:pStyle w:val="Normal"/>
        <w:framePr w:w="1069" w:hAnchor="page" w:vAnchor="page" w:x="9768" w:y="90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hours per response:</w:t>
      </w:r>
    </w:p>
    <w:p>
      <w:pPr>
        <w:pStyle w:val="Normal"/>
        <w:framePr w:w="258" w:hAnchor="page" w:vAnchor="page" w:x="11755" w:y="90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0.5</w:t>
      </w:r>
    </w:p>
    <w:p>
      <w:pPr>
        <w:pStyle w:val="Normal"/>
        <w:framePr w:w="6355" w:hAnchor="page" w:vAnchor="page" w:x="3552" w:y="80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INITIAL STATEMENT OF BENEFICIAL OWNERSHIP OF SECURITIES</w:t>
      </w:r>
    </w:p>
    <w:p>
      <w:pPr>
        <w:pStyle w:val="Normal"/>
        <w:framePr w:w="1376" w:hAnchor="page" w:vAnchor="page" w:x="9768" w:y="76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Estimated average burden</w:t>
      </w:r>
    </w:p>
    <w:p>
      <w:pPr>
        <w:pStyle w:val="Normal"/>
        <w:framePr w:w="799" w:hAnchor="page" w:vAnchor="page" w:x="9768" w:y="62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OMB Number:</w:t>
      </w:r>
    </w:p>
    <w:p>
      <w:pPr>
        <w:pStyle w:val="Normal"/>
        <w:framePr w:w="625" w:hAnchor="page" w:vAnchor="page" w:x="11449" w:y="62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3235-0104</w:t>
      </w:r>
    </w:p>
    <w:p>
      <w:pPr>
        <w:pStyle w:val="Normal"/>
        <w:framePr w:w="1424" w:hAnchor="page" w:vAnchor="page" w:x="5577" w:y="520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Washington, D.C. 20549</w:t>
      </w:r>
    </w:p>
    <w:p>
      <w:pPr>
        <w:pStyle w:val="Normal"/>
        <w:framePr w:w="1385" w:hAnchor="page" w:vAnchor="page" w:x="10312" w:y="393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APPROVAL</w:t>
      </w:r>
    </w:p>
    <w:p>
      <w:pPr>
        <w:pStyle w:val="Normal"/>
        <w:framePr w:w="1033" w:hAnchor="page" w:vAnchor="page" w:x="1076" w:y="337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FORM 3</w:t>
      </w:r>
    </w:p>
    <w:p>
      <w:pPr>
        <w:pStyle w:val="Normal"/>
        <w:framePr w:w="5822" w:hAnchor="page" w:vAnchor="page" w:x="3774" w:y="3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UNITED STATES SECURITIES AND EXCHANGE COMMISSION</w:t>
      </w:r>
    </w:p>
    <w:p>
      <w:pPr>
        <w:pStyle w:val="Normal"/>
        <w:framePr w:w="1153" w:hAnchor="page" w:vAnchor="page" w:x="240" w:y="11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SEC Form 3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3.4pt;margin-top:16pt;z-index:-16777208;width:115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3.4pt;margin-top:53.05pt;z-index:-16777204;width:115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6.5pt;margin-top:16pt;z-index:-16777200;width:2.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3.4pt;margin-top:16pt;z-index:-16777196;width:2.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4.9pt;margin-top:17.5pt;z-index:-16777192;width:112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4.9pt;margin-top:26.5pt;z-index:-16777188;width:112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5pt;margin-top:17.5pt;z-index:-16777184;width:2.5pt;height:1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4.9pt;margin-top:17.5pt;z-index:-16777180;width:2.5pt;height:1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4.9pt;margin-top:28pt;z-index:-16777176;width:112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4.9pt;margin-top:51.55pt;z-index:-16777172;width:112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5pt;margin-top:28pt;z-index:-16777168;width:2.5pt;height:2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4.9pt;margin-top:28pt;z-index:-16777164;width:2.5pt;height:2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1pt;margin-top:70.55pt;z-index:-16777160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1pt;margin-top:184.65pt;z-index:-16777156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598.5pt;margin-top:70.55pt;z-index:-16777152;width:2.5pt;height:116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1pt;margin-top:70.55pt;z-index:-16777148;width:2.5pt;height:116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1.5pt;margin-top:71.05pt;z-index:-16777144;width:177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1.5pt;margin-top:184.15pt;z-index:-16777140;width:177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186.65pt;margin-top:71.05pt;z-index:-16777136;width:2.5pt;height:11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1.5pt;margin-top:71.05pt;z-index:-16777132;width:2.5pt;height:11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5pt;margin-top:96.6pt;z-index:-16777128;width:170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5pt;margin-top:97.1pt;z-index:-16777124;width:170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183.15pt;margin-top:96.6pt;z-index:-16777120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5pt;margin-top:96.6pt;z-index:-16777116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5pt;margin-top:135.1pt;z-index:-16777112;width:170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5pt;margin-top:135.6pt;z-index:-16777108;width:170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183.15pt;margin-top:135.1pt;z-index:-16777104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5pt;margin-top:135.1pt;z-index:-16777100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5pt;margin-top:168.65pt;z-index:-16777096;width:170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5pt;margin-top:169.15pt;z-index:-16777092;width:170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183.15pt;margin-top:168.65pt;z-index:-16777088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5pt;margin-top:168.65pt;z-index:-16777084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7.15pt;margin-top:71.05pt;z-index:-16777080;width:89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7.15pt;margin-top:184.15pt;z-index:-16777076;width:89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74.2pt;margin-top:71.05pt;z-index:-16777072;width:2.5pt;height:11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7.15pt;margin-top:71.05pt;z-index:-16777068;width:2.5pt;height:11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274.7pt;margin-top:71.05pt;z-index:-16777064;width:325.7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274.7pt;margin-top:108.1pt;z-index:-16777060;width:325.7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598pt;margin-top:71.05pt;z-index:-16777056;width:2.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274.7pt;margin-top:71.05pt;z-index:-16777052;width:2.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74.7pt;margin-top:108.6pt;z-index:-16777048;width:177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74.7pt;margin-top:184.15pt;z-index:-16777044;width:177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49.85pt;margin-top:108.6pt;z-index:-16777040;width:2.5pt;height:78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74.7pt;margin-top:108.6pt;z-index:-16777036;width:2.5pt;height:78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50.35pt;margin-top:108.6pt;z-index:-16777032;width:150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50.35pt;margin-top:128.1pt;z-index:-16777028;width:150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8pt;margin-top:108.6pt;z-index:-16777024;width:2.5pt;height:2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50.35pt;margin-top:108.6pt;z-index:-16777020;width:2.5pt;height:2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450.35pt;margin-top:128.6pt;z-index:-16777016;width:150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450.35pt;margin-top:184.15pt;z-index:-16777012;width:150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598pt;margin-top:128.6pt;z-index:-16777008;width:2.5pt;height:58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450.35pt;margin-top:128.6pt;z-index:-16777004;width:2.5pt;height:58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11pt;margin-top:185.15pt;z-index:-16777000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11pt;margin-top:232.7pt;z-index:-16776996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598.5pt;margin-top:185.15pt;z-index:-16776992;width:2.5pt;height:50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11pt;margin-top:185.15pt;z-index:-16776988;width:2.5pt;height:50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11.5pt;margin-top:185.65pt;z-index:-16776984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11.5pt;margin-top:197.65pt;z-index:-16776980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8pt;margin-top:185.65pt;z-index:-16776976;width:2.5pt;height:1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11.5pt;margin-top:185.65pt;z-index:-16776972;width:2.5pt;height:1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1.5pt;margin-top:198.15pt;z-index:-16776968;width:260.7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1.5pt;margin-top:219.2pt;z-index:-16776964;width:260.7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269.7pt;margin-top:198.15pt;z-index:-16776960;width:2.5pt;height:2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1.5pt;margin-top:198.15pt;z-index:-16776956;width:2.5pt;height:2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270.2pt;margin-top:198.15pt;z-index:-16776952;width:113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270.2pt;margin-top:219.2pt;z-index:-16776948;width:113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381.3pt;margin-top:198.15pt;z-index:-16776944;width:2.5pt;height:2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270.2pt;margin-top:198.15pt;z-index:-16776940;width:2.5pt;height:2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381.8pt;margin-top:198.15pt;z-index:-16776936;width:66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381.8pt;margin-top:219.2pt;z-index:-16776932;width:66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445.85pt;margin-top:198.15pt;z-index:-16776928;width:2.5pt;height:2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381.8pt;margin-top:198.15pt;z-index:-16776924;width:2.5pt;height:2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446.35pt;margin-top:198.15pt;z-index:-16776920;width:154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446.35pt;margin-top:219.2pt;z-index:-16776916;width:154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598pt;margin-top:198.15pt;z-index:-16776912;width:2.5pt;height:2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446.35pt;margin-top:198.15pt;z-index:-16776908;width:2.5pt;height:2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11.5pt;margin-top:219.7pt;z-index:-16776904;width:260.7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11.5pt;margin-top:232.2pt;z-index:-16776900;width:260.7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69.7pt;margin-top:219.7pt;z-index:-1677689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11.5pt;margin-top:219.7pt;z-index:-1677689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70.2pt;margin-top:219.7pt;z-index:-16776888;width:113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70.2pt;margin-top:232.2pt;z-index:-16776884;width:113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81.3pt;margin-top:219.7pt;z-index:-1677688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70.2pt;margin-top:219.7pt;z-index:-1677687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81.8pt;margin-top:219.7pt;z-index:-16776872;width:66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81.8pt;margin-top:232.2pt;z-index:-16776868;width:66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5.85pt;margin-top:219.7pt;z-index:-1677686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81.8pt;margin-top:219.7pt;z-index:-1677686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6.35pt;margin-top:219.7pt;z-index:-16776856;width:154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6.35pt;margin-top:232.2pt;z-index:-16776852;width:154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98pt;margin-top:219.7pt;z-index:-1677684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6.35pt;margin-top:219.7pt;z-index:-1677684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11pt;margin-top:233.2pt;z-index:-16776840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11pt;margin-top:296.75pt;z-index:-16776836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98.5pt;margin-top:233.2pt;z-index:-16776832;width:2.5pt;height:6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11pt;margin-top:233.2pt;z-index:-16776828;width:2.5pt;height:6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11.5pt;margin-top:233.7pt;z-index:-16776824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11.5pt;margin-top:253.2pt;z-index:-16776820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8pt;margin-top:233.7pt;z-index:-16776816;width:2.5pt;height:2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11.5pt;margin-top:233.7pt;z-index:-16776812;width:2.5pt;height:2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11.5pt;margin-top:253.7pt;z-index:-16776808;width:202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11.5pt;margin-top:296.25pt;z-index:-16776804;width:202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211.65pt;margin-top:253.7pt;z-index:-16776800;width:2.5pt;height:45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11.5pt;margin-top:253.7pt;z-index:-16776796;width:2.5pt;height:45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212.15pt;margin-top:253.7pt;z-index:-16776792;width:64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212.15pt;margin-top:274.75pt;z-index:-16776788;width:64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274.2pt;margin-top:253.7pt;z-index:-16776784;width:2.5pt;height:2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212.15pt;margin-top:253.7pt;z-index:-16776780;width:2.5pt;height:2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274.7pt;margin-top:253.7pt;z-index:-16776776;width:15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274.7pt;margin-top:274.75pt;z-index:-16776772;width:15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423.85pt;margin-top:253.7pt;z-index:-16776768;width:2.5pt;height:2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74.7pt;margin-top:253.7pt;z-index:-16776764;width:2.5pt;height:2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424.35pt;margin-top:253.7pt;z-index:-16776760;width:43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424.35pt;margin-top:296.25pt;z-index:-16776756;width:43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64.9pt;margin-top:253.7pt;z-index:-16776752;width:2.5pt;height:45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424.35pt;margin-top:253.7pt;z-index:-16776748;width:2.5pt;height:45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65.4pt;margin-top:253.7pt;z-index:-16776744;width:48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65.4pt;margin-top:296.25pt;z-index:-16776740;width:48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511.4pt;margin-top:253.7pt;z-index:-16776736;width:2.5pt;height:45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65.4pt;margin-top:253.7pt;z-index:-16776732;width:2.5pt;height:45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511.9pt;margin-top:253.7pt;z-index:-16776728;width:88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511.9pt;margin-top:296.25pt;z-index:-16776724;width:88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598pt;margin-top:253.7pt;z-index:-16776720;width:2.5pt;height:45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511.9pt;margin-top:253.7pt;z-index:-16776716;width:2.5pt;height:45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212.15pt;margin-top:275.25pt;z-index:-16776712;width:3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212.15pt;margin-top:296.25pt;z-index:-16776708;width:3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44.7pt;margin-top:275.25pt;z-index:-16776704;width:2.5pt;height:2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212.15pt;margin-top:275.25pt;z-index:-16776700;width:2.5pt;height:2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45.2pt;margin-top:275.25pt;z-index:-16776696;width:31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45.2pt;margin-top:296.25pt;z-index:-16776692;width:31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74.2pt;margin-top:275.25pt;z-index:-16776688;width:2.5pt;height:2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45.2pt;margin-top:275.25pt;z-index:-16776684;width:2.5pt;height:2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74.7pt;margin-top:275.25pt;z-index:-16776680;width:116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74.7pt;margin-top:296.25pt;z-index:-16776676;width:116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88.8pt;margin-top:275.25pt;z-index:-16776672;width:2.5pt;height:2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74.7pt;margin-top:275.25pt;z-index:-16776668;width:2.5pt;height:2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89.3pt;margin-top:275.25pt;z-index:-16776664;width:3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89.3pt;margin-top:296.25pt;z-index:-16776660;width:3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423.85pt;margin-top:275.25pt;z-index:-16776656;width:2.5pt;height:2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89.3pt;margin-top:275.25pt;z-index:-16776652;width:2.5pt;height:2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12pt;margin-top:315.25pt;z-index:-16776648;width:588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15.5pt;margin-top:89.55pt;z-index:-16776644;width:64.7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15.5pt;margin-top:111.6pt;z-index:-16776640;width:55.5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15.5pt;margin-top:121.6pt;z-index:-16776636;width:66.0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15.5pt;margin-top:147.1pt;z-index:-16776632;width:41.5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15.5pt;margin-top:155.15pt;z-index:-16776628;width:38.5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72.05pt;margin-top:151.15pt;z-index:-16776624;width:10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128.6pt;margin-top:151.15pt;z-index:-16776620;width:26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189.65pt;margin-top:84.55pt;z-index:-16776616;width:31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277.25pt;margin-top:86.55pt;z-index:-16776612;width:56.3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338.3pt;margin-top:80.05pt;z-index:-16776608;width:11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288.25pt;margin-top:123.6pt;z-index:-16776604;width:7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61.9pt;margin-top:138.1pt;z-index:-16776600;width:7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14pt;margin-top:222.2pt;z-index:-16776596;width:100.6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324.25pt;margin-top:222.2pt;z-index:-16776592;width:5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11.85pt;margin-top:222.2pt;z-index:-16776588;width:6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364.3pt;margin-top:318.75pt;z-index:-16776584;width:88.0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364.3pt;margin-top:325.25pt;z-index:-16776580;width:88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481.9pt;margin-top:318.75pt;z-index:-16776576;width:31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481.9pt;margin-top:325.25pt;z-index:-16776572;width:3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</w:p>
    <w:p>
      <w:pPr>
        <w:pStyle w:val="Normal"/>
        <w:framePr w:w="2873" w:hAnchor="page" w:vAnchor="page" w:x="240" w:y="319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       Name:  Robert G. Gwin </w:t>
      </w:r>
    </w:p>
    <w:p>
      <w:pPr>
        <w:pStyle w:val="Normal"/>
        <w:framePr w:w="3810" w:hAnchor="page" w:vAnchor="page" w:x="240" w:y="304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                    /s/ Robert G. Gwin </w:t>
      </w:r>
    </w:p>
    <w:p>
      <w:pPr>
        <w:pStyle w:val="Normal"/>
        <w:framePr w:w="12336" w:hAnchor="page" w:vAnchor="page" w:x="240" w:y="259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IN WITNESS WHEREOF, the undersigned has caused this Limited Power of Attorney to be executed as of this 6th day of February 2023. </w:t>
      </w:r>
    </w:p>
    <w:p>
      <w:pPr>
        <w:pStyle w:val="Normal"/>
        <w:framePr w:w="14397" w:hAnchor="page" w:vAnchor="page" w:x="240" w:y="229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This Limited Power of Attorney shall remain in full force and effect until the undersigned is no longer required to file Forms 3, 4 or 5 with respect to</w:t>
      </w:r>
    </w:p>
    <w:p>
      <w:pPr>
        <w:pStyle w:val="Normal"/>
        <w:framePr w:w="14397" w:hAnchor="page" w:vAnchor="page" w:x="240" w:y="19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The undersigned hereby grants to each such attorney-in-fact full power and authority to do and perform any and every act and thing whatsoever requisite,</w:t>
      </w:r>
    </w:p>
    <w:p>
      <w:pPr>
        <w:pStyle w:val="Normal"/>
        <w:framePr w:w="14397" w:hAnchor="page" w:vAnchor="page" w:x="240" w:y="16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3.    Take any other action of any type whatsoever in connection with the foregoing which, in the opinion of such attorney-in-fact, may be of benefit to</w:t>
      </w:r>
    </w:p>
    <w:p>
      <w:pPr>
        <w:pStyle w:val="Normal"/>
        <w:framePr w:w="14397" w:hAnchor="page" w:vAnchor="page" w:x="240" w:y="13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2.    Do and perform any and all acts for and on behalf of the undersigned that may be necessary or desirable to complete and execute any such Form 3, 4</w:t>
      </w:r>
    </w:p>
    <w:p>
      <w:pPr>
        <w:pStyle w:val="Normal"/>
        <w:framePr w:w="14397" w:hAnchor="page" w:vAnchor="page" w:x="240" w:y="10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1.    Execute for and on behalf of the undersigned, in the undersigned's capacity as an officer or director, or both, of TechnipFMC plc (the "Company"),</w:t>
      </w:r>
    </w:p>
    <w:p>
      <w:pPr>
        <w:pStyle w:val="Normal"/>
        <w:framePr w:w="14397" w:hAnchor="page" w:vAnchor="page" w:x="240" w:y="79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Know all by these presents, that the undersigned hereby constitutes and appoints each of Victoria Lazar, Stevan Verkin, Guillaume Groisard and Olivia Re</w:t>
      </w:r>
    </w:p>
    <w:p>
      <w:pPr>
        <w:pStyle w:val="Normal"/>
        <w:framePr w:w="3248" w:hAnchor="page" w:vAnchor="page" w:x="240" w:y="49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(For Executing Forms 3, 4 and 5) </w:t>
      </w:r>
    </w:p>
    <w:p>
      <w:pPr>
        <w:pStyle w:val="Normal"/>
        <w:framePr w:w="2592" w:hAnchor="page" w:vAnchor="page" w:x="240" w:y="34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LIMITED POWER OF ATTORNEY </w:t>
      </w:r>
    </w:p>
    <w:p>
      <w:pPr>
        <w:pStyle w:val="Normal"/>
        <w:framePr w:w="1561" w:hAnchor="page" w:vAnchor="page" w:x="240" w:y="4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TechnipFMC plc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7pt;margin-top:1pt;z-index:-16776568;width:598pt;height:181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</w:p>
    <w:sectPr>
      <w:pgSz w:w="12240" w:h="20160"/>
      <w:pgMar w:top="400" w:right="400" w:bottom="400" w:left="400" w:header="720" w:footer="720"/>
      <w:pgNumType w:start="2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  <w:font w:name="CourierNewPSMT">
    <w:panose-1>"02070309020205020404"</w:panose-1>
    <w:charset>
      <w:val>"01"</w:val>
    </w:charset>
    <w:family>"Modern"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5" w:fontKey="{f84bb01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styles.xml" Type="http://schemas.openxmlformats.org/officeDocument/2006/relationships/styles"/><Relationship Id="rId164" Target="fontTable.xml" Type="http://schemas.openxmlformats.org/officeDocument/2006/relationships/fontTable"/><Relationship Id="rId165" Target="settings.xml" Type="http://schemas.openxmlformats.org/officeDocument/2006/relationships/settings"/><Relationship Id="rId166" Target="webSettings.xml" Type="http://schemas.openxmlformats.org/officeDocument/2006/relationships/webSettings"/><Relationship Id="rId17" Target="media/image17.png" Type="http://schemas.openxmlformats.org/officeDocument/2006/relationships/image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media/image27.png" Type="http://schemas.openxmlformats.org/officeDocument/2006/relationships/image"/><Relationship Id="rId28" Target="media/image28.png" Type="http://schemas.openxmlformats.org/officeDocument/2006/relationships/image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Relationship Id="rId5" Target="fonts/font5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2</Pages>
  <Words>595</Words>
  <Characters>3112</Characters>
  <Application>e-iceblue</Application>
  <DocSecurity>0</DocSecurity>
  <Lines>107</Lines>
  <Paragraphs>107</Paragraphs>
  <ScaleCrop>false</ScaleCrop>
  <Company>e-iceblue</Company>
  <LinksUpToDate>false</LinksUpToDate>
  <CharactersWithSpaces>3643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2023-02-21T22:14:03Z</dcterms:created>
  <dc:creator>root</dc:creator>
  <cp:lastModifiedBy>root</cp:lastModifiedBy>
  <dcterms:modified xsi:type="dcterms:W3CDTF">2023-02-21T22:14:03Z</dcterms:modified>
  <cp:revision>1</cp:revision>
</cp:coreProperties>
</file>