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734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734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719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04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689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5 (b)(v).</w:t>
      </w:r>
    </w:p>
    <w:p>
      <w:pPr>
        <w:pStyle w:val="Normal"/>
        <w:framePr w:w="6121" w:hAnchor="page" w:vAnchor="page" w:x="270" w:y="674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674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659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659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220" w:hAnchor="page" w:vAnchor="page" w:x="7306" w:y="6399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Olivia Reed, Attorney-in-Fact</w:t>
      </w:r>
    </w:p>
    <w:p>
      <w:pPr>
        <w:pStyle w:val="Normal"/>
        <w:framePr w:w="867" w:hAnchor="page" w:vAnchor="page" w:x="9658" w:y="6399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02/21/2023</w:t>
      </w:r>
    </w:p>
    <w:p>
      <w:pPr>
        <w:pStyle w:val="Normal"/>
        <w:framePr w:w="868" w:hAnchor="page" w:vAnchor="page" w:x="270" w:y="614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1662" w:hAnchor="page" w:vAnchor="page" w:x="270" w:y="599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788" w:hAnchor="page" w:vAnchor="page" w:x="4313" w:y="579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Exercisable</w:t>
      </w:r>
    </w:p>
    <w:p>
      <w:pPr>
        <w:pStyle w:val="Normal"/>
        <w:framePr w:w="380" w:hAnchor="page" w:vAnchor="page" w:x="4974" w:y="579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Date</w:t>
      </w:r>
    </w:p>
    <w:p>
      <w:pPr>
        <w:pStyle w:val="Normal"/>
        <w:framePr w:w="365" w:hAnchor="page" w:vAnchor="page" w:x="5565" w:y="579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Title</w:t>
      </w:r>
    </w:p>
    <w:p>
      <w:pPr>
        <w:pStyle w:val="Normal"/>
        <w:framePr w:w="521" w:hAnchor="page" w:vAnchor="page" w:x="7856" w:y="579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Shares</w:t>
      </w:r>
    </w:p>
    <w:p>
      <w:pPr>
        <w:pStyle w:val="Normal"/>
        <w:framePr w:w="380" w:hAnchor="page" w:vAnchor="page" w:x="4313" w:y="568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Date</w:t>
      </w:r>
    </w:p>
    <w:p>
      <w:pPr>
        <w:pStyle w:val="Normal"/>
        <w:framePr w:w="707" w:hAnchor="page" w:vAnchor="page" w:x="4974" w:y="568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Expiration</w:t>
      </w:r>
    </w:p>
    <w:p>
      <w:pPr>
        <w:pStyle w:val="Normal"/>
        <w:framePr w:w="721" w:hAnchor="page" w:vAnchor="page" w:x="7856" w:y="568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Number of</w:t>
      </w:r>
    </w:p>
    <w:p>
      <w:pPr>
        <w:pStyle w:val="Normal"/>
        <w:framePr w:w="727" w:hAnchor="page" w:vAnchor="page" w:x="7856" w:y="557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Amount or</w:t>
      </w:r>
    </w:p>
    <w:p>
      <w:pPr>
        <w:pStyle w:val="Normal"/>
        <w:framePr w:w="767" w:hAnchor="page" w:vAnchor="page" w:x="8557" w:y="558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Security</w:t>
      </w:r>
    </w:p>
    <w:p>
      <w:pPr>
        <w:pStyle w:val="Normal"/>
        <w:framePr w:w="694" w:hAnchor="page" w:vAnchor="page" w:x="8557" w:y="547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Derivative</w:t>
      </w:r>
    </w:p>
    <w:p>
      <w:pPr>
        <w:pStyle w:val="Normal"/>
        <w:framePr w:w="587" w:hAnchor="page" w:vAnchor="page" w:x="9378" w:y="547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(Instr. 5)</w:t>
      </w:r>
    </w:p>
    <w:p>
      <w:pPr>
        <w:pStyle w:val="Normal"/>
        <w:framePr w:w="1101" w:hAnchor="page" w:vAnchor="page" w:x="4313" w:y="536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(Month/Day/Year)</w:t>
      </w:r>
    </w:p>
    <w:p>
      <w:pPr>
        <w:pStyle w:val="Normal"/>
        <w:framePr w:w="561" w:hAnchor="page" w:vAnchor="page" w:x="8557" w:y="536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Price of</w:t>
      </w:r>
    </w:p>
    <w:p>
      <w:pPr>
        <w:pStyle w:val="Normal"/>
        <w:framePr w:w="854" w:hAnchor="page" w:vAnchor="page" w:x="9378" w:y="536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or Indirect (I)</w:t>
      </w:r>
    </w:p>
    <w:p>
      <w:pPr>
        <w:pStyle w:val="Normal"/>
        <w:framePr w:w="1001" w:hAnchor="page" w:vAnchor="page" w:x="4313" w:y="525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Expiration Date</w:t>
      </w:r>
    </w:p>
    <w:p>
      <w:pPr>
        <w:pStyle w:val="Normal"/>
        <w:framePr w:w="1274" w:hAnchor="page" w:vAnchor="page" w:x="5565" w:y="525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Security (Instr. 4)</w:t>
      </w:r>
    </w:p>
    <w:p>
      <w:pPr>
        <w:pStyle w:val="Normal"/>
        <w:framePr w:w="768" w:hAnchor="page" w:vAnchor="page" w:x="8557" w:y="525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or Exercise</w:t>
      </w:r>
    </w:p>
    <w:p>
      <w:pPr>
        <w:pStyle w:val="Normal"/>
        <w:framePr w:w="1034" w:hAnchor="page" w:vAnchor="page" w:x="9378" w:y="525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Form: Direct (D)</w:t>
      </w:r>
    </w:p>
    <w:p>
      <w:pPr>
        <w:pStyle w:val="Normal"/>
        <w:framePr w:w="1241" w:hAnchor="page" w:vAnchor="page" w:x="10309" w:y="525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Ownership (Instr. 5)</w:t>
      </w:r>
    </w:p>
    <w:p>
      <w:pPr>
        <w:pStyle w:val="Normal"/>
        <w:framePr w:w="2440" w:hAnchor="page" w:vAnchor="page" w:x="300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Derivative Security (Instr. 4)</w:t>
      </w:r>
    </w:p>
    <w:p>
      <w:pPr>
        <w:pStyle w:val="Normal"/>
        <w:framePr w:w="1462" w:hAnchor="page" w:vAnchor="page" w:x="4313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2. Date Exercisable and</w:t>
      </w:r>
    </w:p>
    <w:p>
      <w:pPr>
        <w:pStyle w:val="Normal"/>
        <w:framePr w:w="3428" w:hAnchor="page" w:vAnchor="page" w:x="5565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3. Title and Amount of Securities Underlying Derivative</w:t>
      </w:r>
    </w:p>
    <w:p>
      <w:pPr>
        <w:pStyle w:val="Normal"/>
        <w:framePr w:w="914" w:hAnchor="page" w:vAnchor="page" w:x="8557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4. Conversion</w:t>
      </w:r>
    </w:p>
    <w:p>
      <w:pPr>
        <w:pStyle w:val="Normal"/>
        <w:framePr w:w="874" w:hAnchor="page" w:vAnchor="page" w:x="9378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5. Ownership</w:t>
      </w:r>
    </w:p>
    <w:p>
      <w:pPr>
        <w:pStyle w:val="Normal"/>
        <w:framePr w:w="1849" w:hAnchor="page" w:vAnchor="page" w:x="10309" w:y="5144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6. Nature of Indirect Beneficial</w:t>
      </w:r>
    </w:p>
    <w:p>
      <w:pPr>
        <w:pStyle w:val="Normal"/>
        <w:framePr w:w="4459" w:hAnchor="page" w:vAnchor="page" w:x="4327" w:y="489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4058" w:hAnchor="page" w:vAnchor="page" w:x="4588" w:y="474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Beneficially Owned</w:t>
      </w:r>
    </w:p>
    <w:p>
      <w:pPr>
        <w:pStyle w:val="Normal"/>
        <w:framePr w:w="2523" w:hAnchor="page" w:vAnchor="page" w:x="300" w:y="446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No Securities are Beneficially Owned</w:t>
      </w:r>
    </w:p>
    <w:p>
      <w:pPr>
        <w:pStyle w:val="Normal"/>
        <w:framePr w:w="234" w:hAnchor="page" w:vAnchor="page" w:x="6508" w:y="446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269" w:hAnchor="page" w:vAnchor="page" w:x="8255" w:y="446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587" w:hAnchor="page" w:vAnchor="page" w:x="7706" w:y="425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(Instr. 5)</w:t>
      </w:r>
    </w:p>
    <w:p>
      <w:pPr>
        <w:pStyle w:val="Normal"/>
        <w:framePr w:w="587" w:hAnchor="page" w:vAnchor="page" w:x="5474" w:y="414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(Instr. 4)</w:t>
      </w:r>
    </w:p>
    <w:p>
      <w:pPr>
        <w:pStyle w:val="Normal"/>
        <w:framePr w:w="1428" w:hAnchor="page" w:vAnchor="page" w:x="7706" w:y="414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Direct (D) or Indirect (I)</w:t>
      </w:r>
    </w:p>
    <w:p>
      <w:pPr>
        <w:pStyle w:val="Normal"/>
        <w:framePr w:w="1833" w:hAnchor="page" w:vAnchor="page" w:x="300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4)</w:t>
      </w:r>
    </w:p>
    <w:p>
      <w:pPr>
        <w:pStyle w:val="Normal"/>
        <w:framePr w:w="3926" w:hAnchor="page" w:vAnchor="page" w:x="5474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2. Amount of Securities Beneficially Owned 3. Ownership Form:</w:t>
      </w:r>
    </w:p>
    <w:p>
      <w:pPr>
        <w:pStyle w:val="Normal"/>
        <w:framePr w:w="3003" w:hAnchor="page" w:vAnchor="page" w:x="8997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4. Nature of Indirect Beneficial Ownership (Instr. 5)</w:t>
      </w:r>
    </w:p>
    <w:p>
      <w:pPr>
        <w:pStyle w:val="Normal"/>
        <w:framePr w:w="4370" w:hAnchor="page" w:vAnchor="page" w:x="4458" w:y="3785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Beneficially Owned</w:t>
      </w:r>
    </w:p>
    <w:p>
      <w:pPr>
        <w:pStyle w:val="Normal"/>
        <w:framePr w:w="587" w:hAnchor="page" w:vAnchor="page" w:x="330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461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592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1036" w:hAnchor="page" w:vAnchor="page" w:x="330" w:y="312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UPON TYNE</w:t>
      </w:r>
    </w:p>
    <w:p>
      <w:pPr>
        <w:pStyle w:val="Normal"/>
        <w:framePr w:w="347" w:hAnchor="page" w:vAnchor="page" w:x="1461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X0</w:t>
      </w:r>
    </w:p>
    <w:p>
      <w:pPr>
        <w:pStyle w:val="Normal"/>
        <w:framePr w:w="741" w:hAnchor="page" w:vAnchor="page" w:x="2592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NE6 3PL</w:t>
      </w:r>
    </w:p>
    <w:p>
      <w:pPr>
        <w:pStyle w:val="Normal"/>
        <w:framePr w:w="1101" w:hAnchor="page" w:vAnchor="page" w:x="330" w:y="296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NEWCASTLE</w:t>
      </w:r>
    </w:p>
    <w:p>
      <w:pPr>
        <w:pStyle w:val="Normal"/>
        <w:framePr w:w="2797" w:hAnchor="page" w:vAnchor="page" w:x="9548" w:y="298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520" w:hAnchor="page" w:vAnchor="page" w:x="300" w:y="28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269" w:hAnchor="page" w:vAnchor="page" w:x="9261" w:y="278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548" w:y="28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1373" w:hAnchor="page" w:vAnchor="page" w:x="6115" w:y="26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7816" w:y="26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3177" w:hAnchor="page" w:vAnchor="page" w:x="9077" w:y="264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269" w:hAnchor="page" w:vAnchor="page" w:x="5788" w:y="24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540" w:hAnchor="page" w:vAnchor="page" w:x="6115" w:y="251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7816" w:y="251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696" w:hAnchor="page" w:vAnchor="page" w:x="330" w:y="24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WINCOMBLEE ROAD</w:t>
      </w:r>
    </w:p>
    <w:p>
      <w:pPr>
        <w:pStyle w:val="Normal"/>
        <w:framePr w:w="1268" w:hAnchor="page" w:vAnchor="page" w:x="5565" w:y="235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1435" w:hAnchor="page" w:vAnchor="page" w:x="330" w:y="22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HADRIAN HOUSE</w:t>
      </w:r>
    </w:p>
    <w:p>
      <w:pPr>
        <w:pStyle w:val="Normal"/>
        <w:framePr w:w="2682" w:hAnchor="page" w:vAnchor="page" w:x="5565" w:y="22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4. Relationship of Reporting Person(s) to Issuer </w:t>
      </w:r>
    </w:p>
    <w:p>
      <w:pPr>
        <w:pStyle w:val="Normal"/>
        <w:framePr w:w="3166" w:hAnchor="page" w:vAnchor="page" w:x="9077" w:y="22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5. If Amendment, Date of Original Filed (Month/Day/Year)</w:t>
      </w:r>
    </w:p>
    <w:p>
      <w:pPr>
        <w:pStyle w:val="Normal"/>
        <w:framePr w:w="427" w:hAnchor="page" w:vAnchor="page" w:x="330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461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592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867" w:hAnchor="page" w:vAnchor="page" w:x="3813" w:y="171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02/01/2023</w:t>
      </w:r>
    </w:p>
    <w:p>
      <w:pPr>
        <w:pStyle w:val="Normal"/>
        <w:framePr w:w="1696" w:hAnchor="page" w:vAnchor="page" w:x="330" w:y="1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GWIN ROBERT G</w:t>
      </w:r>
    </w:p>
    <w:p>
      <w:pPr>
        <w:pStyle w:val="Normal"/>
        <w:framePr w:w="1638" w:hAnchor="page" w:vAnchor="page" w:x="3813" w:y="160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Statement (Month/Day/Year)</w:t>
      </w:r>
    </w:p>
    <w:p>
      <w:pPr>
        <w:pStyle w:val="Normal"/>
        <w:framePr w:w="1994" w:hAnchor="page" w:vAnchor="page" w:x="5565" w:y="15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2410" w:hAnchor="page" w:vAnchor="page" w:x="300" w:y="149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1529" w:hAnchor="page" w:vAnchor="page" w:x="3813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2. Date of Event Requiring</w:t>
      </w:r>
    </w:p>
    <w:p>
      <w:pPr>
        <w:pStyle w:val="Normal"/>
        <w:framePr w:w="2727" w:hAnchor="page" w:vAnchor="page" w:x="5565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3.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3298" w:hAnchor="page" w:vAnchor="page" w:x="487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3865" w:hAnchor="page" w:vAnchor="page" w:x="4559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1069" w:hAnchor="page" w:vAnchor="page" w:x="976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6355" w:hAnchor="page" w:vAnchor="page" w:x="3552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INITIAL STATEMENT OF BENEFICIAL OWNERSHIP OF SECURITIES</w:t>
      </w:r>
    </w:p>
    <w:p>
      <w:pPr>
        <w:pStyle w:val="Normal"/>
        <w:framePr w:w="1376" w:hAnchor="page" w:vAnchor="page" w:x="976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6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3235-0104</w:t>
      </w:r>
    </w:p>
    <w:p>
      <w:pPr>
        <w:pStyle w:val="Normal"/>
        <w:framePr w:w="1424" w:hAnchor="page" w:vAnchor="page" w:x="557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12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076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3</w:t>
      </w:r>
    </w:p>
    <w:p>
      <w:pPr>
        <w:pStyle w:val="Normal"/>
        <w:framePr w:w="5822" w:hAnchor="page" w:vAnchor="page" w:x="377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4pt;margin-top:16pt;z-index:-16777208;width:115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4pt;margin-top:53.05pt;z-index:-16777204;width:115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4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4.9pt;margin-top:17.5pt;z-index:-16777192;width:112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4.9pt;margin-top:26.5pt;z-index:-16777188;width:112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4.9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4.9pt;margin-top:28pt;z-index:-16777176;width:112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4.9pt;margin-top:51.55pt;z-index:-16777172;width:112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4.9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1pt;margin-top:70.55pt;z-index:-16777160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1pt;margin-top:184.65pt;z-index:-1677715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98.5pt;margin-top:70.55pt;z-index:-16777152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1pt;margin-top:70.55pt;z-index:-16777148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1.5pt;margin-top:71.05pt;z-index:-16777144;width:177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1.5pt;margin-top:184.15pt;z-index:-16777140;width:177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6.65pt;margin-top:71.05pt;z-index:-16777136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1.5pt;margin-top:71.05pt;z-index:-16777132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pt;margin-top:96.6pt;z-index:-16777128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pt;margin-top:97.1pt;z-index:-16777124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83.15pt;margin-top:96.6pt;z-index:-1677712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pt;margin-top:96.6pt;z-index:-1677711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5pt;margin-top:135.1pt;z-index:-16777112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5pt;margin-top:135.6pt;z-index:-16777108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83.15pt;margin-top:135.1pt;z-index:-1677710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5pt;margin-top:135.1pt;z-index:-1677710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pt;margin-top:168.65pt;z-index:-16777096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pt;margin-top:169.15pt;z-index:-16777092;width:170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83.15pt;margin-top:168.65pt;z-index:-1677708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pt;margin-top:168.65pt;z-index:-1677708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7.15pt;margin-top:71.05pt;z-index:-16777080;width:89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7.15pt;margin-top:184.15pt;z-index:-16777076;width:89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74.2pt;margin-top:71.05pt;z-index:-16777072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7.15pt;margin-top:71.05pt;z-index:-16777068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274.7pt;margin-top:71.05pt;z-index:-16777064;width:325.7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74.7pt;margin-top:108.1pt;z-index:-16777060;width:325.7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8pt;margin-top:71.05pt;z-index:-1677705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274.7pt;margin-top:71.05pt;z-index:-16777052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74.7pt;margin-top:108.6pt;z-index:-16777048;width:177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74.7pt;margin-top:184.15pt;z-index:-16777044;width:177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49.85pt;margin-top:108.6pt;z-index:-16777040;width:2.5pt;height:7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74.7pt;margin-top:108.6pt;z-index:-16777036;width:2.5pt;height:7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0.35pt;margin-top:108.6pt;z-index:-16777032;width:15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50.35pt;margin-top:128.1pt;z-index:-16777028;width:15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8pt;margin-top:108.6pt;z-index:-16777024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50.35pt;margin-top:108.6pt;z-index:-16777020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50.35pt;margin-top:128.6pt;z-index:-16777016;width:15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50.35pt;margin-top:184.15pt;z-index:-16777012;width:15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598pt;margin-top:128.6pt;z-index:-16777008;width:2.5pt;height:5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50.35pt;margin-top:128.6pt;z-index:-16777004;width:2.5pt;height:5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1pt;margin-top:185.15pt;z-index:-16777000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1pt;margin-top:232.7pt;z-index:-1677699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8.5pt;margin-top:185.15pt;z-index:-16776992;width:2.5pt;height:50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1pt;margin-top:185.15pt;z-index:-16776988;width:2.5pt;height:50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1.5pt;margin-top:185.65pt;z-index:-16776984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1.5pt;margin-top:197.65pt;z-index:-1677698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8pt;margin-top:185.65pt;z-index:-16776976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1.5pt;margin-top:185.65pt;z-index:-16776972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.5pt;margin-top:198.15pt;z-index:-16776968;width:260.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.5pt;margin-top:219.2pt;z-index:-16776964;width:260.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269.7pt;margin-top:198.15pt;z-index:-16776960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.5pt;margin-top:198.15pt;z-index:-16776956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70.2pt;margin-top:198.15pt;z-index:-16776952;width:113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270.2pt;margin-top:219.2pt;z-index:-16776948;width:113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81.3pt;margin-top:198.15pt;z-index:-1677694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270.2pt;margin-top:198.15pt;z-index:-16776940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381.8pt;margin-top:198.15pt;z-index:-16776936;width:6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81.8pt;margin-top:219.2pt;z-index:-16776932;width:6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45.85pt;margin-top:198.15pt;z-index:-16776928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81.8pt;margin-top:198.15pt;z-index:-1677692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46.35pt;margin-top:198.15pt;z-index:-16776920;width:154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46.35pt;margin-top:219.2pt;z-index:-16776916;width:154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8pt;margin-top:198.15pt;z-index:-16776912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46.35pt;margin-top:198.15pt;z-index:-16776908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1.5pt;margin-top:219.7pt;z-index:-16776904;width:260.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1.5pt;margin-top:232.2pt;z-index:-16776900;width:260.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69.7pt;margin-top:219.7pt;z-index:-1677689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1.5pt;margin-top:219.7pt;z-index:-167768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70.2pt;margin-top:219.7pt;z-index:-16776888;width:113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70.2pt;margin-top:232.2pt;z-index:-16776884;width:113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81.3pt;margin-top:219.7pt;z-index:-1677688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70.2pt;margin-top:219.7pt;z-index:-167768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81.8pt;margin-top:219.7pt;z-index:-16776872;width:6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81.8pt;margin-top:232.2pt;z-index:-16776868;width:6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5.85pt;margin-top:219.7pt;z-index:-1677686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81.8pt;margin-top:219.7pt;z-index:-167768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6.35pt;margin-top:219.7pt;z-index:-16776856;width:154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6.35pt;margin-top:232.2pt;z-index:-16776852;width:154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8pt;margin-top:219.7pt;z-index:-1677684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6.35pt;margin-top:219.7pt;z-index:-167768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1pt;margin-top:233.2pt;z-index:-16776840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1pt;margin-top:296.75pt;z-index:-1677683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98.5pt;margin-top:233.2pt;z-index:-16776832;width:2.5pt;height:6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1pt;margin-top:233.2pt;z-index:-16776828;width:2.5pt;height:6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1.5pt;margin-top:233.7pt;z-index:-16776824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1.5pt;margin-top:253.2pt;z-index:-1677682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8pt;margin-top:233.7pt;z-index:-16776816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1.5pt;margin-top:233.7pt;z-index:-16776812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1.5pt;margin-top:253.7pt;z-index:-16776808;width:202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1.5pt;margin-top:296.25pt;z-index:-16776804;width:202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211.65pt;margin-top:253.7pt;z-index:-16776800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1.5pt;margin-top:253.7pt;z-index:-16776796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212.15pt;margin-top:253.7pt;z-index:-16776792;width:64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212.15pt;margin-top:274.75pt;z-index:-16776788;width:64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274.2pt;margin-top:253.7pt;z-index:-1677678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212.15pt;margin-top:253.7pt;z-index:-16776780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74.7pt;margin-top:253.7pt;z-index:-16776776;width:15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74.7pt;margin-top:274.75pt;z-index:-16776772;width:15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23.85pt;margin-top:253.7pt;z-index:-16776768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74.7pt;margin-top:253.7pt;z-index:-1677676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24.35pt;margin-top:253.7pt;z-index:-16776760;width:43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24.35pt;margin-top:296.25pt;z-index:-16776756;width:43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64.9pt;margin-top:253.7pt;z-index:-16776752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24.35pt;margin-top:253.7pt;z-index:-16776748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65.4pt;margin-top:253.7pt;z-index:-16776744;width:48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65.4pt;margin-top:296.25pt;z-index:-16776740;width:48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11.4pt;margin-top:253.7pt;z-index:-16776736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65.4pt;margin-top:253.7pt;z-index:-16776732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11.9pt;margin-top:253.7pt;z-index:-16776728;width:88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11.9pt;margin-top:296.25pt;z-index:-16776724;width:88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598pt;margin-top:253.7pt;z-index:-16776720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11.9pt;margin-top:253.7pt;z-index:-16776716;width:2.5pt;height: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12.15pt;margin-top:275.25pt;z-index:-16776712;width:3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12.15pt;margin-top:296.25pt;z-index:-16776708;width:3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44.7pt;margin-top:275.25pt;z-index:-1677670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212.15pt;margin-top:275.25pt;z-index:-16776700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45.2pt;margin-top:275.25pt;z-index:-16776696;width:31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45.2pt;margin-top:296.25pt;z-index:-16776692;width:31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74.2pt;margin-top:275.25pt;z-index:-16776688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5.2pt;margin-top:275.25pt;z-index:-16776684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74.7pt;margin-top:275.25pt;z-index:-16776680;width:116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74.7pt;margin-top:296.25pt;z-index:-16776676;width:116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88.8pt;margin-top:275.25pt;z-index:-16776672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74.7pt;margin-top:275.25pt;z-index:-16776668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89.3pt;margin-top:275.25pt;z-index:-16776664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89.3pt;margin-top:296.25pt;z-index:-16776660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23.85pt;margin-top:275.25pt;z-index:-16776656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89.3pt;margin-top:275.25pt;z-index:-16776652;width:2.5pt;height:2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2pt;margin-top:315.25pt;z-index:-16776648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5.5pt;margin-top:89.55pt;z-index:-16776644;width:64.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15.5pt;margin-top:111.6pt;z-index:-16776640;width:55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5.5pt;margin-top:121.6pt;z-index:-16776636;width:66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5.5pt;margin-top:147.1pt;z-index:-16776632;width:41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5.5pt;margin-top:155.15pt;z-index:-16776628;width:38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72.05pt;margin-top:151.15pt;z-index:-16776624;width:1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28.6pt;margin-top:151.15pt;z-index:-16776620;width:2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89.65pt;margin-top:84.55pt;z-index:-16776616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277.25pt;margin-top:86.55pt;z-index:-16776612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38.3pt;margin-top:80.05pt;z-index:-16776608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288.25pt;margin-top:123.6pt;z-index:-16776604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61.9pt;margin-top:138.1pt;z-index:-16776600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4pt;margin-top:222.2pt;z-index:-16776596;width:100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324.25pt;margin-top:222.2pt;z-index:-16776592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11.85pt;margin-top:222.2pt;z-index:-16776588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364.3pt;margin-top:318.75pt;z-index:-16776584;width:88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64.3pt;margin-top:325.25pt;z-index:-16776580;width:8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81.9pt;margin-top:318.75pt;z-index:-16776576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81.9pt;margin-top:325.25pt;z-index:-16776572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</w:p>
    <w:p>
      <w:pPr>
        <w:pStyle w:val="Normal"/>
        <w:framePr w:w="2873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 Robert G. Gwin </w:t>
      </w:r>
    </w:p>
    <w:p>
      <w:pPr>
        <w:pStyle w:val="Normal"/>
        <w:framePr w:w="3810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 Robert G. Gwin </w:t>
      </w:r>
    </w:p>
    <w:p>
      <w:pPr>
        <w:pStyle w:val="Normal"/>
        <w:framePr w:w="12336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6th day of February 2023.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Victoria Lazar, Stevan Verkin, Guillaume Groisard and Olivia Re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7pt;margin-top:1pt;z-index:-16776568;width:598pt;height:18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styles.xml" Type="http://schemas.openxmlformats.org/officeDocument/2006/relationships/styles"/><Relationship Id="rId164" Target="fontTable.xml" Type="http://schemas.openxmlformats.org/officeDocument/2006/relationships/fontTable"/><Relationship Id="rId165" Target="settings.xml" Type="http://schemas.openxmlformats.org/officeDocument/2006/relationships/settings"/><Relationship Id="rId166" Target="webSettings.xml" Type="http://schemas.openxmlformats.org/officeDocument/2006/relationships/webSettings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595</Words>
  <Characters>3112</Characters>
  <Application>e-iceblue</Application>
  <DocSecurity>0</DocSecurity>
  <Lines>107</Lines>
  <Paragraphs>107</Paragraphs>
  <ScaleCrop>false</ScaleCrop>
  <Company>e-iceblue</Company>
  <LinksUpToDate>false</LinksUpToDate>
  <CharactersWithSpaces>3643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2023-02-21T22:14:03Z</dcterms:created>
  <dc:creator>root</dc:creator>
  <cp:lastModifiedBy>root</cp:lastModifiedBy>
  <dcterms:modified xsi:type="dcterms:W3CDTF">2023-02-21T22:14:03Z</dcterms:modified>
  <cp:revision>1</cp:revision>
</cp:coreProperties>
</file>