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59"/>
        <w:spacing w:after="0"/>
        <w:rPr>
          <w:sz w:val="20"/>
          <w:szCs w:val="20"/>
          <w:color w:val="auto"/>
        </w:rPr>
      </w:pPr>
      <w:r>
        <w:rPr>
          <w:rFonts w:ascii="Arial" w:cs="Arial" w:eastAsia="Arial" w:hAnsi="Arial"/>
          <w:sz w:val="25"/>
          <w:szCs w:val="25"/>
          <w:b w:val="1"/>
          <w:bCs w:val="1"/>
          <w:color w:val="auto"/>
        </w:rPr>
        <w:t>UNITED STATES</w:t>
      </w:r>
    </w:p>
    <w:p>
      <w:pPr>
        <w:spacing w:after="0" w:line="42" w:lineRule="exact"/>
        <w:rPr>
          <w:sz w:val="24"/>
          <w:szCs w:val="24"/>
          <w:color w:val="auto"/>
        </w:rPr>
      </w:pPr>
    </w:p>
    <w:p>
      <w:pPr>
        <w:jc w:val="center"/>
        <w:ind w:right="-359"/>
        <w:spacing w:after="0"/>
        <w:rPr>
          <w:sz w:val="20"/>
          <w:szCs w:val="20"/>
          <w:color w:val="auto"/>
        </w:rPr>
      </w:pPr>
      <w:r>
        <w:rPr>
          <w:rFonts w:ascii="Arial" w:cs="Arial" w:eastAsia="Arial" w:hAnsi="Arial"/>
          <w:sz w:val="25"/>
          <w:szCs w:val="25"/>
          <w:b w:val="1"/>
          <w:bCs w:val="1"/>
          <w:color w:val="auto"/>
        </w:rPr>
        <w:t>SECURITIES AND EXCHANGE COMMISSION</w:t>
      </w:r>
    </w:p>
    <w:p>
      <w:pPr>
        <w:spacing w:after="0" w:line="15" w:lineRule="exact"/>
        <w:rPr>
          <w:sz w:val="24"/>
          <w:szCs w:val="24"/>
          <w:color w:val="auto"/>
        </w:rPr>
      </w:pPr>
    </w:p>
    <w:p>
      <w:pPr>
        <w:jc w:val="center"/>
        <w:ind w:right="-3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1240155</wp:posOffset>
            </wp:positionH>
            <wp:positionV relativeFrom="paragraph">
              <wp:posOffset>169545</wp:posOffset>
            </wp:positionV>
            <wp:extent cx="470789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707890" cy="8890"/>
                    </a:xfrm>
                    <a:prstGeom prst="rect">
                      <a:avLst/>
                    </a:prstGeom>
                    <a:noFill/>
                  </pic:spPr>
                </pic:pic>
              </a:graphicData>
            </a:graphic>
          </wp:anchor>
        </w:drawing>
      </w:r>
    </w:p>
    <w:p>
      <w:pPr>
        <w:spacing w:after="0" w:line="200" w:lineRule="exact"/>
        <w:rPr>
          <w:sz w:val="24"/>
          <w:szCs w:val="24"/>
          <w:color w:val="auto"/>
        </w:rPr>
      </w:pPr>
    </w:p>
    <w:p>
      <w:pPr>
        <w:spacing w:after="0" w:line="389" w:lineRule="exact"/>
        <w:rPr>
          <w:sz w:val="24"/>
          <w:szCs w:val="24"/>
          <w:color w:val="auto"/>
        </w:rPr>
      </w:pPr>
    </w:p>
    <w:p>
      <w:pPr>
        <w:jc w:val="center"/>
        <w:ind w:right="-359"/>
        <w:spacing w:after="0"/>
        <w:rPr>
          <w:sz w:val="20"/>
          <w:szCs w:val="20"/>
          <w:color w:val="auto"/>
        </w:rPr>
      </w:pPr>
      <w:r>
        <w:rPr>
          <w:rFonts w:ascii="Arial" w:cs="Arial" w:eastAsia="Arial" w:hAnsi="Arial"/>
          <w:sz w:val="32"/>
          <w:szCs w:val="32"/>
          <w:b w:val="1"/>
          <w:bCs w:val="1"/>
          <w:color w:val="auto"/>
        </w:rPr>
        <w:t>FORM 12b-25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1240155</wp:posOffset>
            </wp:positionH>
            <wp:positionV relativeFrom="paragraph">
              <wp:posOffset>441325</wp:posOffset>
            </wp:positionV>
            <wp:extent cx="470789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70789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0" w:lineRule="exact"/>
        <w:rPr>
          <w:sz w:val="24"/>
          <w:szCs w:val="24"/>
          <w:color w:val="auto"/>
        </w:rPr>
      </w:pPr>
    </w:p>
    <w:p>
      <w:pPr>
        <w:jc w:val="center"/>
        <w:ind w:right="-359"/>
        <w:spacing w:after="0"/>
        <w:rPr>
          <w:sz w:val="20"/>
          <w:szCs w:val="20"/>
          <w:color w:val="auto"/>
        </w:rPr>
      </w:pPr>
      <w:r>
        <w:rPr>
          <w:rFonts w:ascii="Arial" w:cs="Arial" w:eastAsia="Arial" w:hAnsi="Arial"/>
          <w:sz w:val="18"/>
          <w:szCs w:val="18"/>
          <w:b w:val="1"/>
          <w:bCs w:val="1"/>
          <w:color w:val="auto"/>
        </w:rPr>
        <w:t>NOTIFICATION OF LATE FILING</w:t>
      </w:r>
    </w:p>
    <w:p>
      <w:pPr>
        <w:spacing w:after="0" w:line="239" w:lineRule="exact"/>
        <w:rPr>
          <w:sz w:val="24"/>
          <w:szCs w:val="24"/>
          <w:color w:val="auto"/>
        </w:rPr>
      </w:pPr>
    </w:p>
    <w:p>
      <w:pPr>
        <w:jc w:val="center"/>
        <w:ind w:left="9400"/>
        <w:spacing w:after="0"/>
        <w:rPr>
          <w:sz w:val="20"/>
          <w:szCs w:val="20"/>
          <w:color w:val="auto"/>
        </w:rPr>
      </w:pPr>
      <w:r>
        <w:rPr>
          <w:rFonts w:ascii="Arial" w:cs="Arial" w:eastAsia="Arial" w:hAnsi="Arial"/>
          <w:sz w:val="14"/>
          <w:szCs w:val="14"/>
          <w:color w:val="auto"/>
        </w:rPr>
        <w:t>SEC FILE NUMBER</w:t>
      </w:r>
    </w:p>
    <w:p>
      <w:pPr>
        <w:spacing w:after="0" w:line="37" w:lineRule="exact"/>
        <w:rPr>
          <w:sz w:val="24"/>
          <w:szCs w:val="24"/>
          <w:color w:val="auto"/>
        </w:rPr>
      </w:pPr>
    </w:p>
    <w:p>
      <w:pPr>
        <w:jc w:val="center"/>
        <w:ind w:left="9400"/>
        <w:spacing w:after="0"/>
        <w:rPr>
          <w:sz w:val="20"/>
          <w:szCs w:val="20"/>
          <w:color w:val="auto"/>
        </w:rPr>
      </w:pPr>
      <w:r>
        <w:rPr>
          <w:rFonts w:ascii="Arial" w:cs="Arial" w:eastAsia="Arial" w:hAnsi="Arial"/>
          <w:sz w:val="14"/>
          <w:szCs w:val="14"/>
          <w:b w:val="1"/>
          <w:bCs w:val="1"/>
          <w:color w:val="auto"/>
        </w:rPr>
        <w:t>001-37983</w:t>
      </w:r>
    </w:p>
    <w:p>
      <w:pPr>
        <w:spacing w:after="0" w:line="200" w:lineRule="exact"/>
        <w:rPr>
          <w:sz w:val="24"/>
          <w:szCs w:val="24"/>
          <w:color w:val="auto"/>
        </w:rPr>
      </w:pPr>
    </w:p>
    <w:p>
      <w:pPr>
        <w:spacing w:after="0" w:line="224" w:lineRule="exact"/>
        <w:rPr>
          <w:sz w:val="24"/>
          <w:szCs w:val="24"/>
          <w:color w:val="auto"/>
        </w:rPr>
      </w:pPr>
    </w:p>
    <w:p>
      <w:pPr>
        <w:jc w:val="center"/>
        <w:ind w:left="9400"/>
        <w:spacing w:after="0"/>
        <w:rPr>
          <w:sz w:val="20"/>
          <w:szCs w:val="20"/>
          <w:color w:val="auto"/>
        </w:rPr>
      </w:pPr>
      <w:r>
        <w:rPr>
          <w:rFonts w:ascii="Arial" w:cs="Arial" w:eastAsia="Arial" w:hAnsi="Arial"/>
          <w:sz w:val="14"/>
          <w:szCs w:val="14"/>
          <w:color w:val="auto"/>
        </w:rPr>
        <w:t>CUSIP NUMBER</w:t>
      </w:r>
    </w:p>
    <w:p>
      <w:pPr>
        <w:spacing w:after="0" w:line="37" w:lineRule="exact"/>
        <w:rPr>
          <w:sz w:val="24"/>
          <w:szCs w:val="24"/>
          <w:color w:val="auto"/>
        </w:rPr>
      </w:pPr>
    </w:p>
    <w:p>
      <w:pPr>
        <w:jc w:val="center"/>
        <w:ind w:left="9400"/>
        <w:spacing w:after="0"/>
        <w:rPr>
          <w:sz w:val="20"/>
          <w:szCs w:val="20"/>
          <w:color w:val="auto"/>
        </w:rPr>
      </w:pPr>
      <w:r>
        <w:rPr>
          <w:rFonts w:ascii="Arial" w:cs="Arial" w:eastAsia="Arial" w:hAnsi="Arial"/>
          <w:sz w:val="14"/>
          <w:szCs w:val="14"/>
          <w:b w:val="1"/>
          <w:bCs w:val="1"/>
          <w:color w:val="auto"/>
        </w:rPr>
        <w:t>G87110 105</w:t>
      </w:r>
    </w:p>
    <w:p>
      <w:pPr>
        <w:spacing w:after="0" w:line="372" w:lineRule="exact"/>
        <w:rPr>
          <w:sz w:val="24"/>
          <w:szCs w:val="24"/>
          <w:color w:val="auto"/>
        </w:rPr>
      </w:pPr>
    </w:p>
    <w:p>
      <w:pPr>
        <w:ind w:left="2280" w:hanging="185"/>
        <w:spacing w:after="0" w:line="207" w:lineRule="exact"/>
        <w:tabs>
          <w:tab w:leader="none" w:pos="2280" w:val="left"/>
        </w:tabs>
        <w:numPr>
          <w:ilvl w:val="0"/>
          <w:numId w:val="1"/>
        </w:numPr>
        <w:rPr>
          <w:rFonts w:ascii="MS PGothic" w:cs="MS PGothic" w:eastAsia="MS PGothic" w:hAnsi="MS PGothic"/>
          <w:sz w:val="16"/>
          <w:szCs w:val="16"/>
          <w:color w:val="auto"/>
        </w:rPr>
      </w:pPr>
      <w:r>
        <w:rPr>
          <w:rFonts w:ascii="Arial" w:cs="Arial" w:eastAsia="Arial" w:hAnsi="Arial"/>
          <w:sz w:val="18"/>
          <w:szCs w:val="18"/>
          <w:b w:val="1"/>
          <w:bCs w:val="1"/>
          <w:color w:val="auto"/>
        </w:rPr>
        <w:t>Form 10-K</w:t>
      </w:r>
      <w:r>
        <w:rPr>
          <w:rFonts w:ascii="MS PGothic" w:cs="MS PGothic" w:eastAsia="MS PGothic" w:hAnsi="MS PGothic"/>
          <w:sz w:val="18"/>
          <w:szCs w:val="18"/>
          <w:color w:val="auto"/>
          <w:highlight w:val="black"/>
        </w:rPr>
        <w:t>☐</w:t>
      </w:r>
      <w:r>
        <w:rPr>
          <w:rFonts w:ascii="Arial" w:cs="Arial" w:eastAsia="Arial" w:hAnsi="Arial"/>
          <w:sz w:val="18"/>
          <w:szCs w:val="18"/>
          <w:b w:val="1"/>
          <w:bCs w:val="1"/>
          <w:color w:val="auto"/>
        </w:rPr>
        <w:t xml:space="preserve"> Form 20-F</w:t>
      </w:r>
      <w:r>
        <w:rPr>
          <w:rFonts w:ascii="MS PGothic" w:cs="MS PGothic" w:eastAsia="MS PGothic" w:hAnsi="MS PGothic"/>
          <w:sz w:val="18"/>
          <w:szCs w:val="18"/>
          <w:color w:val="auto"/>
          <w:highlight w:val="black"/>
        </w:rPr>
        <w:t>☐</w:t>
      </w:r>
      <w:r>
        <w:rPr>
          <w:rFonts w:ascii="Arial" w:cs="Arial" w:eastAsia="Arial" w:hAnsi="Arial"/>
          <w:sz w:val="18"/>
          <w:szCs w:val="18"/>
          <w:b w:val="1"/>
          <w:bCs w:val="1"/>
          <w:color w:val="auto"/>
        </w:rPr>
        <w:t xml:space="preserve"> Form 11-K</w:t>
      </w:r>
      <w:r>
        <w:rPr>
          <w:rFonts w:ascii="MS PGothic" w:cs="MS PGothic" w:eastAsia="MS PGothic" w:hAnsi="MS PGothic"/>
          <w:sz w:val="18"/>
          <w:szCs w:val="18"/>
          <w:color w:val="auto"/>
          <w:highlight w:val="black"/>
        </w:rPr>
        <w:t>☐</w:t>
      </w:r>
      <w:r>
        <w:rPr>
          <w:rFonts w:ascii="Arial" w:cs="Arial" w:eastAsia="Arial" w:hAnsi="Arial"/>
          <w:sz w:val="18"/>
          <w:szCs w:val="18"/>
          <w:b w:val="1"/>
          <w:bCs w:val="1"/>
          <w:color w:val="auto"/>
        </w:rPr>
        <w:t xml:space="preserve"> Form 10-Q</w:t>
      </w:r>
      <w:r>
        <w:rPr>
          <w:rFonts w:ascii="MS PGothic" w:cs="MS PGothic" w:eastAsia="MS PGothic" w:hAnsi="MS PGothic"/>
          <w:sz w:val="18"/>
          <w:szCs w:val="18"/>
          <w:color w:val="auto"/>
          <w:highlight w:val="black"/>
        </w:rPr>
        <w:t>☐</w:t>
      </w:r>
      <w:r>
        <w:rPr>
          <w:rFonts w:ascii="Arial" w:cs="Arial" w:eastAsia="Arial" w:hAnsi="Arial"/>
          <w:sz w:val="18"/>
          <w:szCs w:val="18"/>
          <w:b w:val="1"/>
          <w:bCs w:val="1"/>
          <w:color w:val="auto"/>
        </w:rPr>
        <w:t xml:space="preserve"> Form 10-D</w:t>
      </w:r>
      <w:r>
        <w:rPr>
          <w:rFonts w:ascii="MS PGothic" w:cs="MS PGothic" w:eastAsia="MS PGothic" w:hAnsi="MS PGothic"/>
          <w:sz w:val="18"/>
          <w:szCs w:val="18"/>
          <w:color w:val="auto"/>
          <w:highlight w:val="black"/>
        </w:rPr>
        <w:t>☐</w:t>
      </w:r>
      <w:r>
        <w:rPr>
          <w:rFonts w:ascii="Arial" w:cs="Arial" w:eastAsia="Arial" w:hAnsi="Arial"/>
          <w:sz w:val="18"/>
          <w:szCs w:val="18"/>
          <w:b w:val="1"/>
          <w:bCs w:val="1"/>
          <w:color w:val="auto"/>
        </w:rPr>
        <w:t xml:space="preserve"> Form N-SAR</w:t>
      </w:r>
    </w:p>
    <w:p>
      <w:pPr>
        <w:spacing w:after="0" w:line="51" w:lineRule="exact"/>
        <w:rPr>
          <w:sz w:val="24"/>
          <w:szCs w:val="24"/>
          <w:color w:val="auto"/>
        </w:rPr>
      </w:pPr>
    </w:p>
    <w:p>
      <w:pPr>
        <w:ind w:left="520"/>
        <w:spacing w:after="0" w:line="207" w:lineRule="exact"/>
        <w:tabs>
          <w:tab w:leader="none" w:pos="2080" w:val="left"/>
        </w:tabs>
        <w:rPr>
          <w:sz w:val="20"/>
          <w:szCs w:val="20"/>
          <w:color w:val="auto"/>
        </w:rPr>
      </w:pPr>
      <w:r>
        <w:rPr>
          <w:rFonts w:ascii="Arial" w:cs="Arial" w:eastAsia="Arial" w:hAnsi="Arial"/>
          <w:sz w:val="18"/>
          <w:szCs w:val="18"/>
          <w:b w:val="1"/>
          <w:bCs w:val="1"/>
          <w:i w:val="1"/>
          <w:iCs w:val="1"/>
          <w:color w:val="auto"/>
        </w:rPr>
        <w:t>(Check One)</w:t>
      </w:r>
      <w:r>
        <w:rPr>
          <w:rFonts w:ascii="Arial" w:cs="Arial" w:eastAsia="Arial" w:hAnsi="Arial"/>
          <w:sz w:val="18"/>
          <w:szCs w:val="18"/>
          <w:b w:val="1"/>
          <w:bCs w:val="1"/>
          <w:color w:val="auto"/>
        </w:rPr>
        <w:t>:</w:t>
      </w:r>
      <w:r>
        <w:rPr>
          <w:sz w:val="20"/>
          <w:szCs w:val="20"/>
          <w:color w:val="auto"/>
        </w:rPr>
        <w:tab/>
      </w:r>
      <w:r>
        <w:rPr>
          <w:rFonts w:ascii="MS PGothic" w:cs="MS PGothic" w:eastAsia="MS PGothic" w:hAnsi="MS PGothic"/>
          <w:sz w:val="17"/>
          <w:szCs w:val="17"/>
          <w:color w:val="auto"/>
        </w:rPr>
        <w:t xml:space="preserve">☐ </w:t>
      </w:r>
      <w:r>
        <w:rPr>
          <w:rFonts w:ascii="Arial" w:cs="Arial" w:eastAsia="Arial" w:hAnsi="Arial"/>
          <w:sz w:val="17"/>
          <w:szCs w:val="17"/>
          <w:color w:val="auto"/>
        </w:rPr>
        <w:t>Form N-CSR</w:t>
      </w:r>
    </w:p>
    <w:p>
      <w:pPr>
        <w:spacing w:after="0" w:line="391" w:lineRule="exact"/>
        <w:rPr>
          <w:sz w:val="24"/>
          <w:szCs w:val="24"/>
          <w:color w:val="auto"/>
        </w:rPr>
      </w:pPr>
    </w:p>
    <w:p>
      <w:pPr>
        <w:ind w:left="1460"/>
        <w:spacing w:after="0"/>
        <w:rPr>
          <w:sz w:val="20"/>
          <w:szCs w:val="20"/>
          <w:color w:val="auto"/>
        </w:rPr>
      </w:pPr>
      <w:r>
        <w:rPr>
          <w:rFonts w:ascii="Arial" w:cs="Arial" w:eastAsia="Arial" w:hAnsi="Arial"/>
          <w:sz w:val="18"/>
          <w:szCs w:val="18"/>
          <w:color w:val="auto"/>
        </w:rPr>
        <w:t>For Period Ended: December 31, 2019</w:t>
      </w:r>
    </w:p>
    <w:p>
      <w:pPr>
        <w:spacing w:after="0" w:line="200" w:lineRule="exact"/>
        <w:rPr>
          <w:sz w:val="24"/>
          <w:szCs w:val="24"/>
          <w:color w:val="auto"/>
        </w:rPr>
      </w:pPr>
    </w:p>
    <w:p>
      <w:pPr>
        <w:spacing w:after="0" w:line="241" w:lineRule="exact"/>
        <w:rPr>
          <w:sz w:val="24"/>
          <w:szCs w:val="24"/>
          <w:color w:val="auto"/>
        </w:rPr>
      </w:pPr>
    </w:p>
    <w:p>
      <w:pPr>
        <w:ind w:left="1680" w:hanging="213"/>
        <w:spacing w:after="0"/>
        <w:tabs>
          <w:tab w:leader="none" w:pos="16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on Form 10-K</w:t>
      </w:r>
    </w:p>
    <w:p>
      <w:pPr>
        <w:spacing w:after="0" w:line="103" w:lineRule="exact"/>
        <w:rPr>
          <w:rFonts w:ascii="MS PGothic" w:cs="MS PGothic" w:eastAsia="MS PGothic" w:hAnsi="MS PGothic"/>
          <w:sz w:val="18"/>
          <w:szCs w:val="18"/>
          <w:color w:val="auto"/>
        </w:rPr>
      </w:pPr>
    </w:p>
    <w:p>
      <w:pPr>
        <w:ind w:left="1680" w:hanging="213"/>
        <w:spacing w:after="0"/>
        <w:tabs>
          <w:tab w:leader="none" w:pos="16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on Form 20-F</w:t>
      </w:r>
    </w:p>
    <w:p>
      <w:pPr>
        <w:spacing w:after="0" w:line="103" w:lineRule="exact"/>
        <w:rPr>
          <w:rFonts w:ascii="MS PGothic" w:cs="MS PGothic" w:eastAsia="MS PGothic" w:hAnsi="MS PGothic"/>
          <w:sz w:val="18"/>
          <w:szCs w:val="18"/>
          <w:color w:val="auto"/>
        </w:rPr>
      </w:pPr>
    </w:p>
    <w:p>
      <w:pPr>
        <w:ind w:left="1680" w:hanging="213"/>
        <w:spacing w:after="0"/>
        <w:tabs>
          <w:tab w:leader="none" w:pos="16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on Form 11-K</w:t>
      </w:r>
    </w:p>
    <w:p>
      <w:pPr>
        <w:spacing w:after="0" w:line="103" w:lineRule="exact"/>
        <w:rPr>
          <w:rFonts w:ascii="MS PGothic" w:cs="MS PGothic" w:eastAsia="MS PGothic" w:hAnsi="MS PGothic"/>
          <w:sz w:val="18"/>
          <w:szCs w:val="18"/>
          <w:color w:val="auto"/>
        </w:rPr>
      </w:pPr>
    </w:p>
    <w:p>
      <w:pPr>
        <w:ind w:left="1680" w:hanging="213"/>
        <w:spacing w:after="0"/>
        <w:tabs>
          <w:tab w:leader="none" w:pos="16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on Form 10-Q</w:t>
      </w:r>
    </w:p>
    <w:p>
      <w:pPr>
        <w:spacing w:after="0" w:line="103" w:lineRule="exact"/>
        <w:rPr>
          <w:rFonts w:ascii="MS PGothic" w:cs="MS PGothic" w:eastAsia="MS PGothic" w:hAnsi="MS PGothic"/>
          <w:sz w:val="18"/>
          <w:szCs w:val="18"/>
          <w:color w:val="auto"/>
        </w:rPr>
      </w:pPr>
    </w:p>
    <w:p>
      <w:pPr>
        <w:ind w:left="1460" w:right="6680" w:firstLine="7"/>
        <w:spacing w:after="0" w:line="407" w:lineRule="auto"/>
        <w:tabs>
          <w:tab w:leader="none" w:pos="1672"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Transition Report on Form N-SAR For the Transition Period Ended: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25400</wp:posOffset>
            </wp:positionV>
            <wp:extent cx="7254875" cy="180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4875" cy="180340"/>
                    </a:xfrm>
                    <a:prstGeom prst="rect">
                      <a:avLst/>
                    </a:prstGeom>
                    <a:noFill/>
                  </pic:spPr>
                </pic:pic>
              </a:graphicData>
            </a:graphic>
          </wp:anchor>
        </w:drawing>
      </w:r>
    </w:p>
    <w:p>
      <w:pPr>
        <w:spacing w:after="0" w:line="38"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Nothing in this form shall be construed to imply that the Commission has verified any information contained herein.</w:t>
      </w:r>
    </w:p>
    <w:p>
      <w:pPr>
        <w:spacing w:after="0" w:line="112" w:lineRule="exact"/>
        <w:rPr>
          <w:sz w:val="24"/>
          <w:szCs w:val="24"/>
          <w:color w:val="auto"/>
        </w:rPr>
      </w:pPr>
    </w:p>
    <w:p>
      <w:pPr>
        <w:spacing w:after="0"/>
        <w:rPr>
          <w:sz w:val="20"/>
          <w:szCs w:val="20"/>
          <w:color w:val="auto"/>
        </w:rPr>
      </w:pPr>
      <w:r>
        <w:rPr>
          <w:rFonts w:ascii="Arial" w:cs="Arial" w:eastAsia="Arial" w:hAnsi="Arial"/>
          <w:sz w:val="18"/>
          <w:szCs w:val="18"/>
          <w:color w:val="auto"/>
        </w:rPr>
        <w:t>If the notification relates to a portion of the filing checked above, identify the Item(s) to which the notification relates: Not applicable.</w:t>
      </w:r>
    </w:p>
    <w:p>
      <w:pPr>
        <w:sectPr>
          <w:pgSz w:w="11900" w:h="16838" w:orient="portrait"/>
          <w:cols w:equalWidth="0" w:num="1">
            <w:col w:w="11060"/>
          </w:cols>
          <w:pgMar w:left="240" w:top="1176" w:right="5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PART I - REGISTRANT INFORMATION</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TechnipFMC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5" w:lineRule="exact"/>
        <w:rPr>
          <w:sz w:val="20"/>
          <w:szCs w:val="20"/>
          <w:color w:val="auto"/>
        </w:rPr>
      </w:pPr>
    </w:p>
    <w:p>
      <w:pPr>
        <w:ind w:left="40"/>
        <w:spacing w:after="0"/>
        <w:rPr>
          <w:sz w:val="20"/>
          <w:szCs w:val="20"/>
          <w:color w:val="auto"/>
        </w:rPr>
      </w:pPr>
      <w:r>
        <w:rPr>
          <w:rFonts w:ascii="Arial" w:cs="Arial" w:eastAsia="Arial" w:hAnsi="Arial"/>
          <w:sz w:val="18"/>
          <w:szCs w:val="18"/>
          <w:color w:val="auto"/>
        </w:rPr>
        <w:t>Full Name of Registrant</w:t>
      </w:r>
    </w:p>
    <w:p>
      <w:pPr>
        <w:spacing w:after="0" w:line="28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5" w:lineRule="exact"/>
        <w:rPr>
          <w:sz w:val="20"/>
          <w:szCs w:val="20"/>
          <w:color w:val="auto"/>
        </w:rPr>
      </w:pPr>
    </w:p>
    <w:p>
      <w:pPr>
        <w:ind w:left="40"/>
        <w:spacing w:after="0"/>
        <w:rPr>
          <w:sz w:val="20"/>
          <w:szCs w:val="20"/>
          <w:color w:val="auto"/>
        </w:rPr>
      </w:pPr>
      <w:r>
        <w:rPr>
          <w:rFonts w:ascii="Arial" w:cs="Arial" w:eastAsia="Arial" w:hAnsi="Arial"/>
          <w:sz w:val="18"/>
          <w:szCs w:val="18"/>
          <w:color w:val="auto"/>
        </w:rPr>
        <w:t>Former Name if Applicable</w:t>
      </w:r>
    </w:p>
    <w:p>
      <w:pPr>
        <w:spacing w:after="0" w:line="28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One St. Paul's Churchyard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 xml:space="preserve">Address of Principal Executive Office </w:t>
      </w:r>
      <w:r>
        <w:rPr>
          <w:rFonts w:ascii="Arial" w:cs="Arial" w:eastAsia="Arial" w:hAnsi="Arial"/>
          <w:sz w:val="18"/>
          <w:szCs w:val="18"/>
          <w:i w:val="1"/>
          <w:iCs w:val="1"/>
          <w:color w:val="auto"/>
        </w:rPr>
        <w:t>(Street and Number)</w:t>
      </w:r>
    </w:p>
    <w:p>
      <w:pPr>
        <w:spacing w:after="0" w:line="30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London, United Kingdom EC4M 8AP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5" w:lineRule="exact"/>
        <w:rPr>
          <w:sz w:val="20"/>
          <w:szCs w:val="20"/>
          <w:color w:val="auto"/>
        </w:rPr>
      </w:pPr>
    </w:p>
    <w:p>
      <w:pPr>
        <w:ind w:left="40"/>
        <w:spacing w:after="0"/>
        <w:rPr>
          <w:sz w:val="20"/>
          <w:szCs w:val="20"/>
          <w:color w:val="auto"/>
        </w:rPr>
      </w:pPr>
      <w:r>
        <w:rPr>
          <w:rFonts w:ascii="Arial" w:cs="Arial" w:eastAsia="Arial" w:hAnsi="Arial"/>
          <w:sz w:val="18"/>
          <w:szCs w:val="18"/>
          <w:color w:val="auto"/>
        </w:rPr>
        <w:t>City, State and Zip Code</w:t>
      </w: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RULES 12b-25(b) AND (c)</w:t>
      </w:r>
    </w:p>
    <w:p>
      <w:pPr>
        <w:spacing w:after="0" w:line="126" w:lineRule="exact"/>
        <w:rPr>
          <w:sz w:val="20"/>
          <w:szCs w:val="20"/>
          <w:color w:val="auto"/>
        </w:rPr>
      </w:pPr>
    </w:p>
    <w:p>
      <w:pPr>
        <w:spacing w:after="0" w:line="371" w:lineRule="auto"/>
        <w:rPr>
          <w:sz w:val="20"/>
          <w:szCs w:val="20"/>
          <w:color w:val="auto"/>
        </w:rPr>
      </w:pPr>
      <w:r>
        <w:rPr>
          <w:rFonts w:ascii="Arial" w:cs="Arial" w:eastAsia="Arial" w:hAnsi="Arial"/>
          <w:sz w:val="18"/>
          <w:szCs w:val="18"/>
          <w:color w:val="auto"/>
        </w:rPr>
        <w:t>If the subject report could not be filed without unreasonable effort or expense and the registrant seeks relief pursuant to Rule 12b-25(b), the following should be completed. (Check box if appropriate)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519430</wp:posOffset>
            </wp:positionH>
            <wp:positionV relativeFrom="paragraph">
              <wp:posOffset>40005</wp:posOffset>
            </wp:positionV>
            <wp:extent cx="8890" cy="10807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890" cy="1080770"/>
                    </a:xfrm>
                    <a:prstGeom prst="rect">
                      <a:avLst/>
                    </a:prstGeom>
                    <a:noFill/>
                  </pic:spPr>
                </pic:pic>
              </a:graphicData>
            </a:graphic>
          </wp:anchor>
        </w:drawing>
      </w:r>
    </w:p>
    <w:p>
      <w:pPr>
        <w:spacing w:after="0" w:line="69" w:lineRule="exact"/>
        <w:rPr>
          <w:sz w:val="20"/>
          <w:szCs w:val="20"/>
          <w:color w:val="auto"/>
        </w:rPr>
      </w:pPr>
    </w:p>
    <w:p>
      <w:pPr>
        <w:ind w:left="1120" w:hanging="261"/>
        <w:spacing w:after="0"/>
        <w:tabs>
          <w:tab w:leader="none" w:pos="112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reasons described in reasonable detail in Part III of this form could not be eliminated without unreasonable effort or expense;</w:t>
      </w:r>
    </w:p>
    <w:p>
      <w:pPr>
        <w:spacing w:after="0" w:line="207" w:lineRule="exact"/>
        <w:rPr>
          <w:rFonts w:ascii="Arial" w:cs="Arial" w:eastAsia="Arial" w:hAnsi="Arial"/>
          <w:sz w:val="18"/>
          <w:szCs w:val="18"/>
          <w:color w:val="auto"/>
        </w:rPr>
      </w:pPr>
    </w:p>
    <w:p>
      <w:pPr>
        <w:ind w:left="1120" w:hanging="261"/>
        <w:spacing w:after="0"/>
        <w:tabs>
          <w:tab w:leader="none" w:pos="112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subject annual report, semi-annual report, transition report on Form 10-K, Form 20-F, Form 11-K, Form N-SAR or Form N-</w:t>
      </w:r>
    </w:p>
    <w:p>
      <w:pPr>
        <w:ind w:left="860" w:right="320" w:hanging="217"/>
        <w:spacing w:after="0" w:line="203" w:lineRule="auto"/>
        <w:tabs>
          <w:tab w:leader="none" w:pos="860" w:val="left"/>
        </w:tabs>
        <w:numPr>
          <w:ilvl w:val="0"/>
          <w:numId w:val="3"/>
        </w:numPr>
        <w:rPr>
          <w:rFonts w:ascii="MS PGothic" w:cs="MS PGothic" w:eastAsia="MS PGothic" w:hAnsi="MS PGothic"/>
          <w:sz w:val="32"/>
          <w:szCs w:val="32"/>
          <w:color w:val="auto"/>
          <w:vertAlign w:val="subscript"/>
        </w:rPr>
      </w:pPr>
      <w:r>
        <w:rPr>
          <w:rFonts w:ascii="Arial" w:cs="Arial" w:eastAsia="Arial" w:hAnsi="Arial"/>
          <w:sz w:val="18"/>
          <w:szCs w:val="18"/>
          <w:color w:val="auto"/>
        </w:rPr>
        <w:t>CSR, or portion thereof, will be filed on or before the fifteenth calendar day following the prescribed due date; or the subject quarterly report or transition report on Form 10-Q or subject distribution report on Form 10-D, or portion thereof, will be filed on or before the fifth calendar day following the prescribed due date; and</w:t>
      </w:r>
    </w:p>
    <w:p>
      <w:pPr>
        <w:spacing w:after="0" w:line="203" w:lineRule="exact"/>
        <w:rPr>
          <w:rFonts w:ascii="MS PGothic" w:cs="MS PGothic" w:eastAsia="MS PGothic" w:hAnsi="MS PGothic"/>
          <w:sz w:val="32"/>
          <w:szCs w:val="32"/>
          <w:color w:val="auto"/>
          <w:vertAlign w:val="subscript"/>
        </w:rPr>
      </w:pPr>
    </w:p>
    <w:p>
      <w:pPr>
        <w:ind w:left="1120" w:hanging="261"/>
        <w:spacing w:after="0"/>
        <w:tabs>
          <w:tab w:leader="none" w:pos="1120" w:val="left"/>
        </w:tabs>
        <w:numPr>
          <w:ilvl w:val="1"/>
          <w:numId w:val="4"/>
        </w:numPr>
        <w:rPr>
          <w:rFonts w:ascii="Arial" w:cs="Arial" w:eastAsia="Arial" w:hAnsi="Arial"/>
          <w:sz w:val="18"/>
          <w:szCs w:val="18"/>
          <w:color w:val="auto"/>
        </w:rPr>
      </w:pPr>
      <w:r>
        <w:rPr>
          <w:rFonts w:ascii="Arial" w:cs="Arial" w:eastAsia="Arial" w:hAnsi="Arial"/>
          <w:sz w:val="18"/>
          <w:szCs w:val="18"/>
          <w:color w:val="auto"/>
        </w:rPr>
        <w:t>The accountant’s statement or other exhibit required by Rule 12b-25(c) has been attached if applicable.</w:t>
      </w: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 - NARRATIVE</w:t>
      </w:r>
    </w:p>
    <w:p>
      <w:pPr>
        <w:spacing w:after="0" w:line="288"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State below in reasonable detail why Forms 10-K, 20-F, 11-K, 10-Q, 10-D, N-SAR, N-CSR, or the transition report or portion thereof, could not be filed within the prescribed time period.</w:t>
      </w:r>
    </w:p>
    <w:p>
      <w:pPr>
        <w:spacing w:after="0" w:line="196"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TechnipFMC plc (the “Company”) has already filed its Form 10-K for the year ended December 31, 2019 (the “2019 Form 10-K”) as of the time of filing this notice. The Company is filing this notice in accordance with Rule 12b-25(a) under the Securities Exchange Act of 1934, as amended, because its 2019 Form 10-K was processed and accepted by the U.S. Securities and Exchange Commission (the “Commission”) at 17:34 ET on March 2, 2020, which was four minutes after the Commission’s 17:30 ET deadline.</w:t>
      </w:r>
    </w:p>
    <w:p>
      <w:pPr>
        <w:spacing w:after="0" w:line="204" w:lineRule="exact"/>
        <w:rPr>
          <w:sz w:val="20"/>
          <w:szCs w:val="20"/>
          <w:color w:val="auto"/>
        </w:rPr>
      </w:pPr>
    </w:p>
    <w:p>
      <w:pPr>
        <w:jc w:val="both"/>
        <w:ind w:right="300"/>
        <w:spacing w:after="0" w:line="256" w:lineRule="auto"/>
        <w:rPr>
          <w:sz w:val="20"/>
          <w:szCs w:val="20"/>
          <w:color w:val="auto"/>
        </w:rPr>
      </w:pPr>
      <w:r>
        <w:rPr>
          <w:rFonts w:ascii="Arial" w:cs="Arial" w:eastAsia="Arial" w:hAnsi="Arial"/>
          <w:sz w:val="18"/>
          <w:szCs w:val="18"/>
          <w:color w:val="auto"/>
        </w:rPr>
        <w:t>The 2019 Form 10-K could not be filed within the prescribed time period due to unexpected technical difficulties with the third-party software and server that the Company uses to process and make its filings with the Commission, which occurred as the Company was attempting to finalize and file the 2019 Form 10-K on March 2, 2020.</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IV - OTHER INFORMATION</w:t>
      </w:r>
    </w:p>
    <w:p>
      <w:pPr>
        <w:spacing w:after="0" w:line="234" w:lineRule="exact"/>
        <w:rPr>
          <w:sz w:val="20"/>
          <w:szCs w:val="20"/>
          <w:color w:val="auto"/>
        </w:rPr>
      </w:pPr>
    </w:p>
    <w:p>
      <w:pPr>
        <w:ind w:left="840" w:hanging="805"/>
        <w:spacing w:after="0"/>
        <w:tabs>
          <w:tab w:leader="none" w:pos="840" w:val="left"/>
        </w:tabs>
        <w:numPr>
          <w:ilvl w:val="0"/>
          <w:numId w:val="5"/>
        </w:numPr>
        <w:rPr>
          <w:rFonts w:ascii="Arial" w:cs="Arial" w:eastAsia="Arial" w:hAnsi="Arial"/>
          <w:sz w:val="18"/>
          <w:szCs w:val="18"/>
          <w:color w:val="auto"/>
        </w:rPr>
      </w:pPr>
      <w:r>
        <w:rPr>
          <w:rFonts w:ascii="Arial" w:cs="Arial" w:eastAsia="Arial" w:hAnsi="Arial"/>
          <w:sz w:val="18"/>
          <w:szCs w:val="18"/>
          <w:color w:val="auto"/>
        </w:rPr>
        <w:t>Name and telephone number of person to contact in regard to this notification.</w:t>
      </w:r>
    </w:p>
    <w:p>
      <w:pPr>
        <w:spacing w:after="0" w:line="200" w:lineRule="exact"/>
        <w:rPr>
          <w:sz w:val="20"/>
          <w:szCs w:val="20"/>
          <w:color w:val="auto"/>
        </w:rPr>
      </w:pPr>
    </w:p>
    <w:p>
      <w:pPr>
        <w:spacing w:after="0" w:line="201"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45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Krisztina Doroghazi</w:t>
            </w:r>
          </w:p>
        </w:tc>
        <w:tc>
          <w:tcPr>
            <w:tcW w:w="120" w:type="dxa"/>
            <w:vAlign w:val="bottom"/>
          </w:tcPr>
          <w:p>
            <w:pPr>
              <w:spacing w:after="0"/>
              <w:rPr>
                <w:sz w:val="19"/>
                <w:szCs w:val="19"/>
                <w:color w:val="auto"/>
              </w:rPr>
            </w:pPr>
          </w:p>
        </w:tc>
        <w:tc>
          <w:tcPr>
            <w:tcW w:w="2620" w:type="dxa"/>
            <w:vAlign w:val="bottom"/>
            <w:tcBorders>
              <w:bottom w:val="single" w:sz="8" w:color="auto"/>
            </w:tcBorders>
          </w:tcPr>
          <w:p>
            <w:pPr>
              <w:jc w:val="right"/>
              <w:ind w:right="1070"/>
              <w:spacing w:after="0"/>
              <w:rPr>
                <w:sz w:val="20"/>
                <w:szCs w:val="20"/>
                <w:color w:val="auto"/>
              </w:rPr>
            </w:pPr>
            <w:r>
              <w:rPr>
                <w:rFonts w:ascii="Arial" w:cs="Arial" w:eastAsia="Arial" w:hAnsi="Arial"/>
                <w:sz w:val="18"/>
                <w:szCs w:val="18"/>
                <w:color w:val="auto"/>
              </w:rPr>
              <w:t>281</w:t>
            </w:r>
          </w:p>
        </w:tc>
        <w:tc>
          <w:tcPr>
            <w:tcW w:w="100" w:type="dxa"/>
            <w:vAlign w:val="bottom"/>
          </w:tcPr>
          <w:p>
            <w:pPr>
              <w:spacing w:after="0"/>
              <w:rPr>
                <w:sz w:val="19"/>
                <w:szCs w:val="19"/>
                <w:color w:val="auto"/>
              </w:rPr>
            </w:pPr>
          </w:p>
        </w:tc>
        <w:tc>
          <w:tcPr>
            <w:tcW w:w="3980" w:type="dxa"/>
            <w:vAlign w:val="bottom"/>
            <w:tcBorders>
              <w:bottom w:val="single" w:sz="8" w:color="auto"/>
            </w:tcBorders>
          </w:tcPr>
          <w:p>
            <w:pPr>
              <w:jc w:val="right"/>
              <w:ind w:right="1510"/>
              <w:spacing w:after="0"/>
              <w:rPr>
                <w:sz w:val="20"/>
                <w:szCs w:val="20"/>
                <w:color w:val="auto"/>
              </w:rPr>
            </w:pPr>
            <w:r>
              <w:rPr>
                <w:rFonts w:ascii="Arial" w:cs="Arial" w:eastAsia="Arial" w:hAnsi="Arial"/>
                <w:sz w:val="18"/>
                <w:szCs w:val="18"/>
                <w:color w:val="auto"/>
              </w:rPr>
              <w:t>405-2311</w:t>
            </w:r>
          </w:p>
        </w:tc>
      </w:tr>
      <w:tr>
        <w:trPr>
          <w:trHeight w:val="243"/>
        </w:trPr>
        <w:tc>
          <w:tcPr>
            <w:tcW w:w="468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(Name)</w:t>
            </w:r>
          </w:p>
        </w:tc>
        <w:tc>
          <w:tcPr>
            <w:tcW w:w="2720" w:type="dxa"/>
            <w:vAlign w:val="bottom"/>
            <w:gridSpan w:val="2"/>
          </w:tcPr>
          <w:p>
            <w:pPr>
              <w:jc w:val="center"/>
              <w:ind w:right="100"/>
              <w:spacing w:after="0"/>
              <w:rPr>
                <w:sz w:val="20"/>
                <w:szCs w:val="20"/>
                <w:color w:val="auto"/>
              </w:rPr>
            </w:pPr>
            <w:r>
              <w:rPr>
                <w:rFonts w:ascii="Arial" w:cs="Arial" w:eastAsia="Arial" w:hAnsi="Arial"/>
                <w:sz w:val="18"/>
                <w:szCs w:val="18"/>
                <w:color w:val="auto"/>
                <w:w w:val="99"/>
              </w:rPr>
              <w:t>(Area Code)</w:t>
            </w:r>
          </w:p>
        </w:tc>
        <w:tc>
          <w:tcPr>
            <w:tcW w:w="3980" w:type="dxa"/>
            <w:vAlign w:val="bottom"/>
          </w:tcPr>
          <w:p>
            <w:pPr>
              <w:jc w:val="center"/>
              <w:spacing w:after="0"/>
              <w:rPr>
                <w:sz w:val="20"/>
                <w:szCs w:val="20"/>
                <w:color w:val="auto"/>
              </w:rPr>
            </w:pPr>
            <w:r>
              <w:rPr>
                <w:rFonts w:ascii="Arial" w:cs="Arial" w:eastAsia="Arial" w:hAnsi="Arial"/>
                <w:sz w:val="18"/>
                <w:szCs w:val="18"/>
                <w:color w:val="auto"/>
                <w:w w:val="98"/>
              </w:rPr>
              <w:t>(Telephone Number)</w:t>
            </w:r>
          </w:p>
        </w:tc>
      </w:tr>
    </w:tbl>
    <w:p>
      <w:pPr>
        <w:sectPr>
          <w:pgSz w:w="11900" w:h="16838" w:orient="portrait"/>
          <w:cols w:equalWidth="0" w:num="1">
            <w:col w:w="11420"/>
          </w:cols>
          <w:pgMar w:left="240" w:top="549" w:right="239" w:bottom="1440" w:gutter="0" w:footer="0" w:header="0"/>
        </w:sectPr>
      </w:pPr>
    </w:p>
    <w:bookmarkStart w:id="2" w:name="page3"/>
    <w:bookmarkEnd w:id="2"/>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520" w:type="dxa"/>
            <w:vAlign w:val="bottom"/>
          </w:tcPr>
          <w:p>
            <w:pPr>
              <w:spacing w:after="0"/>
              <w:rPr>
                <w:sz w:val="17"/>
                <w:szCs w:val="17"/>
                <w:color w:val="auto"/>
              </w:rPr>
            </w:pPr>
          </w:p>
        </w:tc>
        <w:tc>
          <w:tcPr>
            <w:tcW w:w="10600" w:type="dxa"/>
            <w:vAlign w:val="bottom"/>
          </w:tcPr>
          <w:p>
            <w:pPr>
              <w:ind w:left="280"/>
              <w:spacing w:after="0"/>
              <w:rPr>
                <w:sz w:val="20"/>
                <w:szCs w:val="20"/>
                <w:color w:val="auto"/>
              </w:rPr>
            </w:pPr>
            <w:r>
              <w:rPr>
                <w:rFonts w:ascii="Arial" w:cs="Arial" w:eastAsia="Arial" w:hAnsi="Arial"/>
                <w:sz w:val="18"/>
                <w:szCs w:val="18"/>
                <w:color w:val="auto"/>
              </w:rPr>
              <w:t>Have all other periodic reports required under Section 13 or 15(d) of the Securities Exchange Act of 1934 or Section 30 of the</w:t>
            </w:r>
          </w:p>
        </w:tc>
      </w:tr>
      <w:tr>
        <w:trPr>
          <w:trHeight w:val="163"/>
        </w:trPr>
        <w:tc>
          <w:tcPr>
            <w:tcW w:w="520" w:type="dxa"/>
            <w:vAlign w:val="bottom"/>
          </w:tcPr>
          <w:p>
            <w:pPr>
              <w:spacing w:after="0"/>
              <w:rPr>
                <w:sz w:val="14"/>
                <w:szCs w:val="14"/>
                <w:color w:val="auto"/>
              </w:rPr>
            </w:pPr>
          </w:p>
        </w:tc>
        <w:tc>
          <w:tcPr>
            <w:tcW w:w="10600" w:type="dxa"/>
            <w:vAlign w:val="bottom"/>
          </w:tcPr>
          <w:p>
            <w:pPr>
              <w:ind w:left="280"/>
              <w:spacing w:after="0" w:line="163" w:lineRule="exact"/>
              <w:rPr>
                <w:sz w:val="20"/>
                <w:szCs w:val="20"/>
                <w:color w:val="auto"/>
              </w:rPr>
            </w:pPr>
            <w:r>
              <w:rPr>
                <w:rFonts w:ascii="Arial" w:cs="Arial" w:eastAsia="Arial" w:hAnsi="Arial"/>
                <w:sz w:val="18"/>
                <w:szCs w:val="18"/>
                <w:color w:val="auto"/>
                <w:w w:val="99"/>
              </w:rPr>
              <w:t>Investment Company Act of 1940 during the preceding 12 months or for such shorter period that the registrant was required to file</w:t>
            </w:r>
          </w:p>
        </w:tc>
      </w:tr>
      <w:tr>
        <w:trPr>
          <w:trHeight w:val="283"/>
        </w:trPr>
        <w:tc>
          <w:tcPr>
            <w:tcW w:w="520" w:type="dxa"/>
            <w:vAlign w:val="bottom"/>
          </w:tcPr>
          <w:p>
            <w:pPr>
              <w:jc w:val="right"/>
              <w:ind w:right="210"/>
              <w:spacing w:after="0"/>
              <w:rPr>
                <w:sz w:val="20"/>
                <w:szCs w:val="20"/>
                <w:color w:val="auto"/>
              </w:rPr>
            </w:pPr>
            <w:r>
              <w:rPr>
                <w:rFonts w:ascii="Arial" w:cs="Arial" w:eastAsia="Arial" w:hAnsi="Arial"/>
                <w:sz w:val="18"/>
                <w:szCs w:val="18"/>
                <w:color w:val="auto"/>
                <w:w w:val="90"/>
              </w:rPr>
              <w:t>(2)</w:t>
            </w:r>
          </w:p>
        </w:tc>
        <w:tc>
          <w:tcPr>
            <w:tcW w:w="10600" w:type="dxa"/>
            <w:vAlign w:val="bottom"/>
          </w:tcPr>
          <w:p>
            <w:pPr>
              <w:ind w:left="280"/>
              <w:spacing w:after="0" w:line="207" w:lineRule="exact"/>
              <w:rPr>
                <w:sz w:val="20"/>
                <w:szCs w:val="20"/>
                <w:color w:val="auto"/>
              </w:rPr>
            </w:pPr>
            <w:r>
              <w:rPr>
                <w:rFonts w:ascii="Arial" w:cs="Arial" w:eastAsia="Arial" w:hAnsi="Arial"/>
                <w:sz w:val="18"/>
                <w:szCs w:val="18"/>
                <w:color w:val="auto"/>
              </w:rPr>
              <w:t xml:space="preserve">such report(s) been filed? If answer is no, identify report(s). Yes </w:t>
            </w:r>
            <w:r>
              <w:rPr>
                <w:rFonts w:ascii="MS PGothic" w:cs="MS PGothic" w:eastAsia="MS PGothic" w:hAnsi="MS PGothic"/>
                <w:sz w:val="16"/>
                <w:szCs w:val="16"/>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tc>
      </w:tr>
    </w:tbl>
    <w:p>
      <w:pPr>
        <w:spacing w:after="0" w:line="261" w:lineRule="exact"/>
        <w:rPr>
          <w:sz w:val="20"/>
          <w:szCs w:val="20"/>
          <w:color w:val="auto"/>
        </w:rPr>
      </w:pPr>
    </w:p>
    <w:p>
      <w:pPr>
        <w:ind w:left="840"/>
        <w:spacing w:after="0"/>
        <w:rPr>
          <w:sz w:val="20"/>
          <w:szCs w:val="20"/>
          <w:color w:val="auto"/>
        </w:rPr>
      </w:pPr>
      <w:r>
        <w:rPr>
          <w:rFonts w:ascii="Arial" w:cs="Arial" w:eastAsia="Arial" w:hAnsi="Arial"/>
          <w:sz w:val="18"/>
          <w:szCs w:val="18"/>
          <w:color w:val="auto"/>
        </w:rPr>
        <w:t>Is it anticipated that any significant change in results of operations from the corresponding period for the last fiscal year will be</w:t>
      </w:r>
    </w:p>
    <w:p>
      <w:pPr>
        <w:ind w:left="840" w:hanging="805"/>
        <w:spacing w:after="0" w:line="207" w:lineRule="exact"/>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reflected by the earnings statements to be included in the subject report or portion thereof? Yes </w:t>
      </w:r>
      <w:r>
        <w:rPr>
          <w:rFonts w:ascii="MS PGothic" w:cs="MS PGothic" w:eastAsia="MS PGothic" w:hAnsi="MS PGothic"/>
          <w:sz w:val="16"/>
          <w:szCs w:val="16"/>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1" w:lineRule="exact"/>
        <w:rPr>
          <w:sz w:val="20"/>
          <w:szCs w:val="20"/>
          <w:color w:val="auto"/>
        </w:rPr>
      </w:pPr>
    </w:p>
    <w:p>
      <w:pPr>
        <w:ind w:right="820"/>
        <w:spacing w:after="0" w:line="262" w:lineRule="auto"/>
        <w:rPr>
          <w:sz w:val="20"/>
          <w:szCs w:val="20"/>
          <w:color w:val="auto"/>
        </w:rPr>
      </w:pPr>
      <w:r>
        <w:rPr>
          <w:rFonts w:ascii="Arial" w:cs="Arial" w:eastAsia="Arial" w:hAnsi="Arial"/>
          <w:sz w:val="18"/>
          <w:szCs w:val="18"/>
          <w:color w:val="auto"/>
        </w:rPr>
        <w:t>If so, attach an explanation of the anticipated change, both narratively and quantitatively, and, if appropriate, state the reasons why a reasonable estimate of the results cannot be made.</w:t>
      </w:r>
    </w:p>
    <w:p>
      <w:pPr>
        <w:spacing w:after="0" w:line="196"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Please refer to the 2019 Form 10-K filed on March 3, 2020. Details regarding significant changes in the Company's results of operations for the year ended December 31, 2019 as compared to the year ended December 31, 2018 are in the 2019 Form 10-K.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5020"/>
        <w:spacing w:after="0"/>
        <w:rPr>
          <w:sz w:val="20"/>
          <w:szCs w:val="20"/>
          <w:color w:val="auto"/>
        </w:rPr>
      </w:pPr>
      <w:r>
        <w:rPr>
          <w:rFonts w:ascii="Arial" w:cs="Arial" w:eastAsia="Arial" w:hAnsi="Arial"/>
          <w:sz w:val="18"/>
          <w:szCs w:val="18"/>
          <w:b w:val="1"/>
          <w:bCs w:val="1"/>
          <w:color w:val="auto"/>
        </w:rPr>
        <w:t>TechnipFMC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914400</wp:posOffset>
            </wp:positionH>
            <wp:positionV relativeFrom="paragraph">
              <wp:posOffset>28575</wp:posOffset>
            </wp:positionV>
            <wp:extent cx="542861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28615" cy="8890"/>
                    </a:xfrm>
                    <a:prstGeom prst="rect">
                      <a:avLst/>
                    </a:prstGeom>
                    <a:noFill/>
                  </pic:spPr>
                </pic:pic>
              </a:graphicData>
            </a:graphic>
          </wp:anchor>
        </w:drawing>
      </w:r>
    </w:p>
    <w:p>
      <w:pPr>
        <w:spacing w:after="0" w:line="65" w:lineRule="exact"/>
        <w:rPr>
          <w:sz w:val="20"/>
          <w:szCs w:val="20"/>
          <w:color w:val="auto"/>
        </w:rPr>
      </w:pPr>
    </w:p>
    <w:p>
      <w:pPr>
        <w:ind w:left="3940"/>
        <w:spacing w:after="0"/>
        <w:rPr>
          <w:sz w:val="20"/>
          <w:szCs w:val="20"/>
          <w:color w:val="auto"/>
        </w:rPr>
      </w:pPr>
      <w:r>
        <w:rPr>
          <w:rFonts w:ascii="Arial" w:cs="Arial" w:eastAsia="Arial" w:hAnsi="Arial"/>
          <w:sz w:val="18"/>
          <w:szCs w:val="18"/>
          <w:color w:val="auto"/>
        </w:rPr>
        <w:t>(Name of Registrant as Specified in Charter)</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has caused this notification to be signed on its behalf by the undersigned hereunto duly authorized.</w:t>
      </w:r>
    </w:p>
    <w:p>
      <w:pPr>
        <w:spacing w:after="0" w:line="212" w:lineRule="exact"/>
        <w:rPr>
          <w:sz w:val="20"/>
          <w:szCs w:val="20"/>
          <w:color w:val="auto"/>
        </w:rPr>
      </w:pPr>
    </w:p>
    <w:p>
      <w:pPr>
        <w:ind w:left="520"/>
        <w:spacing w:after="0"/>
        <w:tabs>
          <w:tab w:leader="none" w:pos="1340" w:val="left"/>
          <w:tab w:leader="none" w:pos="45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March 3, 2020</w:t>
      </w:r>
      <w:r>
        <w:rPr>
          <w:sz w:val="20"/>
          <w:szCs w:val="20"/>
          <w:color w:val="auto"/>
        </w:rPr>
        <w:tab/>
      </w:r>
      <w:r>
        <w:rPr>
          <w:rFonts w:ascii="Arial" w:cs="Arial" w:eastAsia="Arial" w:hAnsi="Arial"/>
          <w:sz w:val="18"/>
          <w:szCs w:val="18"/>
          <w:color w:val="auto"/>
        </w:rPr>
        <w:t>By: /s/ Krisztina Doroghazi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14605</wp:posOffset>
            </wp:positionV>
            <wp:extent cx="38334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33495" cy="8890"/>
                    </a:xfrm>
                    <a:prstGeom prst="rect">
                      <a:avLst/>
                    </a:prstGeom>
                    <a:noFill/>
                  </pic:spPr>
                </pic:pic>
              </a:graphicData>
            </a:graphic>
          </wp:anchor>
        </w:drawing>
      </w:r>
    </w:p>
    <w:p>
      <w:pPr>
        <w:spacing w:after="0" w:line="43"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Name: Krisztina Doroghazi</w:t>
      </w:r>
    </w:p>
    <w:p>
      <w:pPr>
        <w:spacing w:after="0" w:line="45"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Senior Vice President, Controller and Chief Accounting Officer</w:t>
      </w:r>
    </w:p>
    <w:p>
      <w:pPr>
        <w:ind w:left="4480"/>
        <w:spacing w:after="0"/>
        <w:rPr>
          <w:sz w:val="20"/>
          <w:szCs w:val="20"/>
          <w:color w:val="auto"/>
        </w:rPr>
      </w:pPr>
      <w:r>
        <w:rPr>
          <w:rFonts w:ascii="Arial" w:cs="Arial" w:eastAsia="Arial" w:hAnsi="Arial"/>
          <w:sz w:val="18"/>
          <w:szCs w:val="18"/>
          <w:color w:val="auto"/>
        </w:rPr>
        <w:t>Title: (Principal Accounting Officer and a Duly Authorized Officer)</w:t>
      </w:r>
    </w:p>
    <w:sectPr>
      <w:pgSz w:w="11900" w:h="16838" w:orient="portrait"/>
      <w:cols w:equalWidth="0" w:num="1">
        <w:col w:w="11360"/>
      </w:cols>
      <w:pgMar w:left="240" w:top="728"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lvl w:ilvl="1">
      <w:lvlJc w:val="left"/>
      <w:lvlText w:val="(%2)"/>
      <w:numFmt w:val="lowerLetter"/>
      <w:start w:val="1"/>
    </w:lvl>
  </w:abstractNum>
  <w:abstractNum w:abstractNumId="3">
    <w:nsid w:val="46E87CCD"/>
    <w:multiLevelType w:val="hybridMultilevel"/>
    <w:lvl w:ilvl="0">
      <w:lvlJc w:val="left"/>
      <w:lvlText w:val="☒"/>
      <w:numFmt w:val="bullet"/>
      <w:start w:val="1"/>
    </w:lvl>
    <w:lvl w:ilvl="1">
      <w:lvlJc w:val="left"/>
      <w:lvlText w:val="(%2)"/>
      <w:numFmt w:val="lowerLetter"/>
      <w:start w:val="3"/>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2020-03-03T15:29:03Z</dcterms:created>
  <dcterms:modified xsi:type="dcterms:W3CDTF">2020-03-03T15:29:03Z</dcterms:modified>
</cp:coreProperties>
</file>