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February 23, 2021</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Report (Date of earliest event reported)</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TechnipFMC plc</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300" w:lineRule="exact"/>
        <w:rPr>
          <w:sz w:val="24"/>
          <w:szCs w:val="24"/>
          <w:color w:val="auto"/>
        </w:rPr>
      </w:pPr>
    </w:p>
    <w:tbl>
      <w:tblPr>
        <w:tblLayout w:type="fixed"/>
        <w:tblInd w:w="300" w:type="dxa"/>
        <w:tblCellMar>
          <w:top w:w="0" w:type="dxa"/>
          <w:left w:w="0" w:type="dxa"/>
          <w:bottom w:w="0" w:type="dxa"/>
          <w:right w:w="0" w:type="dxa"/>
        </w:tblCellMar>
      </w:tblPr>
      <w:tr>
        <w:trPr>
          <w:trHeight w:val="220"/>
        </w:trPr>
        <w:tc>
          <w:tcPr>
            <w:tcW w:w="4120" w:type="dxa"/>
            <w:vAlign w:val="bottom"/>
          </w:tcPr>
          <w:p>
            <w:pPr>
              <w:jc w:val="center"/>
              <w:ind w:right="870"/>
              <w:spacing w:after="0"/>
              <w:rPr>
                <w:sz w:val="20"/>
                <w:szCs w:val="20"/>
                <w:color w:val="auto"/>
              </w:rPr>
            </w:pPr>
            <w:r>
              <w:rPr>
                <w:rFonts w:ascii="Arial" w:cs="Arial" w:eastAsia="Arial" w:hAnsi="Arial"/>
                <w:sz w:val="18"/>
                <w:szCs w:val="18"/>
                <w:b w:val="1"/>
                <w:bCs w:val="1"/>
                <w:color w:val="auto"/>
                <w:w w:val="92"/>
              </w:rPr>
              <w:t>United Kingdom</w:t>
            </w:r>
          </w:p>
        </w:tc>
        <w:tc>
          <w:tcPr>
            <w:tcW w:w="2940" w:type="dxa"/>
            <w:vAlign w:val="bottom"/>
          </w:tcPr>
          <w:p>
            <w:pPr>
              <w:jc w:val="right"/>
              <w:ind w:right="1210"/>
              <w:spacing w:after="0"/>
              <w:rPr>
                <w:sz w:val="20"/>
                <w:szCs w:val="20"/>
                <w:color w:val="auto"/>
              </w:rPr>
            </w:pPr>
            <w:r>
              <w:rPr>
                <w:rFonts w:ascii="Arial" w:cs="Arial" w:eastAsia="Arial" w:hAnsi="Arial"/>
                <w:sz w:val="18"/>
                <w:szCs w:val="18"/>
                <w:b w:val="1"/>
                <w:bCs w:val="1"/>
                <w:color w:val="auto"/>
              </w:rPr>
              <w:t>001-37983</w:t>
            </w:r>
          </w:p>
        </w:tc>
        <w:tc>
          <w:tcPr>
            <w:tcW w:w="3360" w:type="dxa"/>
            <w:vAlign w:val="bottom"/>
          </w:tcPr>
          <w:p>
            <w:pPr>
              <w:jc w:val="right"/>
              <w:ind w:right="790"/>
              <w:spacing w:after="0"/>
              <w:rPr>
                <w:sz w:val="20"/>
                <w:szCs w:val="20"/>
                <w:color w:val="auto"/>
              </w:rPr>
            </w:pPr>
            <w:r>
              <w:rPr>
                <w:rFonts w:ascii="Arial" w:cs="Arial" w:eastAsia="Arial" w:hAnsi="Arial"/>
                <w:sz w:val="18"/>
                <w:szCs w:val="18"/>
                <w:b w:val="1"/>
                <w:bCs w:val="1"/>
                <w:color w:val="auto"/>
              </w:rPr>
              <w:t>98-1283037</w:t>
            </w:r>
          </w:p>
        </w:tc>
      </w:tr>
      <w:tr>
        <w:trPr>
          <w:trHeight w:val="230"/>
        </w:trPr>
        <w:tc>
          <w:tcPr>
            <w:tcW w:w="4120" w:type="dxa"/>
            <w:vAlign w:val="bottom"/>
          </w:tcPr>
          <w:p>
            <w:pPr>
              <w:jc w:val="center"/>
              <w:ind w:right="870"/>
              <w:spacing w:after="0"/>
              <w:rPr>
                <w:sz w:val="20"/>
                <w:szCs w:val="20"/>
                <w:color w:val="auto"/>
              </w:rPr>
            </w:pPr>
            <w:r>
              <w:rPr>
                <w:rFonts w:ascii="Arial" w:cs="Arial" w:eastAsia="Arial" w:hAnsi="Arial"/>
                <w:sz w:val="18"/>
                <w:szCs w:val="18"/>
                <w:color w:val="auto"/>
                <w:w w:val="92"/>
              </w:rPr>
              <w:t>(State or other jurisdiction of incorporation)</w:t>
            </w:r>
          </w:p>
        </w:tc>
        <w:tc>
          <w:tcPr>
            <w:tcW w:w="2940" w:type="dxa"/>
            <w:vAlign w:val="bottom"/>
          </w:tcPr>
          <w:p>
            <w:pPr>
              <w:jc w:val="center"/>
              <w:ind w:right="350"/>
              <w:spacing w:after="0"/>
              <w:rPr>
                <w:sz w:val="20"/>
                <w:szCs w:val="20"/>
                <w:color w:val="auto"/>
              </w:rPr>
            </w:pPr>
            <w:r>
              <w:rPr>
                <w:rFonts w:ascii="Arial" w:cs="Arial" w:eastAsia="Arial" w:hAnsi="Arial"/>
                <w:sz w:val="18"/>
                <w:szCs w:val="18"/>
                <w:color w:val="auto"/>
                <w:w w:val="92"/>
              </w:rPr>
              <w:t>(Commission File Number)</w:t>
            </w:r>
          </w:p>
        </w:tc>
        <w:tc>
          <w:tcPr>
            <w:tcW w:w="3360" w:type="dxa"/>
            <w:vAlign w:val="bottom"/>
          </w:tcPr>
          <w:p>
            <w:pPr>
              <w:ind w:left="740"/>
              <w:spacing w:after="0"/>
              <w:rPr>
                <w:sz w:val="20"/>
                <w:szCs w:val="20"/>
                <w:color w:val="auto"/>
              </w:rPr>
            </w:pPr>
            <w:r>
              <w:rPr>
                <w:rFonts w:ascii="Arial" w:cs="Arial" w:eastAsia="Arial" w:hAnsi="Arial"/>
                <w:sz w:val="18"/>
                <w:szCs w:val="18"/>
                <w:color w:val="auto"/>
                <w:w w:val="93"/>
              </w:rPr>
              <w:t>(I.R.S. Employer Identification No.)</w:t>
            </w:r>
          </w:p>
        </w:tc>
      </w:tr>
      <w:tr>
        <w:trPr>
          <w:trHeight w:val="365"/>
        </w:trPr>
        <w:tc>
          <w:tcPr>
            <w:tcW w:w="4120" w:type="dxa"/>
            <w:vAlign w:val="bottom"/>
          </w:tcPr>
          <w:p>
            <w:pPr>
              <w:jc w:val="center"/>
              <w:ind w:left="710"/>
              <w:spacing w:after="0"/>
              <w:rPr>
                <w:sz w:val="20"/>
                <w:szCs w:val="20"/>
                <w:color w:val="auto"/>
              </w:rPr>
            </w:pPr>
            <w:r>
              <w:rPr>
                <w:rFonts w:ascii="Arial" w:cs="Arial" w:eastAsia="Arial" w:hAnsi="Arial"/>
                <w:sz w:val="18"/>
                <w:szCs w:val="18"/>
                <w:b w:val="1"/>
                <w:bCs w:val="1"/>
                <w:color w:val="auto"/>
                <w:w w:val="91"/>
              </w:rPr>
              <w:t>One St. Paul’s Churchyard</w:t>
            </w:r>
          </w:p>
        </w:tc>
        <w:tc>
          <w:tcPr>
            <w:tcW w:w="2940" w:type="dxa"/>
            <w:vAlign w:val="bottom"/>
          </w:tcPr>
          <w:p>
            <w:pPr>
              <w:spacing w:after="0"/>
              <w:rPr>
                <w:sz w:val="24"/>
                <w:szCs w:val="24"/>
                <w:color w:val="auto"/>
              </w:rPr>
            </w:pPr>
          </w:p>
        </w:tc>
        <w:tc>
          <w:tcPr>
            <w:tcW w:w="3360" w:type="dxa"/>
            <w:vAlign w:val="bottom"/>
          </w:tcPr>
          <w:p>
            <w:pPr>
              <w:spacing w:after="0"/>
              <w:rPr>
                <w:sz w:val="24"/>
                <w:szCs w:val="24"/>
                <w:color w:val="auto"/>
              </w:rPr>
            </w:pPr>
          </w:p>
        </w:tc>
      </w:tr>
      <w:tr>
        <w:trPr>
          <w:trHeight w:val="225"/>
        </w:trPr>
        <w:tc>
          <w:tcPr>
            <w:tcW w:w="4120" w:type="dxa"/>
            <w:vAlign w:val="bottom"/>
          </w:tcPr>
          <w:p>
            <w:pPr>
              <w:jc w:val="center"/>
              <w:ind w:left="710"/>
              <w:spacing w:after="0"/>
              <w:rPr>
                <w:sz w:val="20"/>
                <w:szCs w:val="20"/>
                <w:color w:val="auto"/>
              </w:rPr>
            </w:pPr>
            <w:r>
              <w:rPr>
                <w:rFonts w:ascii="Arial" w:cs="Arial" w:eastAsia="Arial" w:hAnsi="Arial"/>
                <w:sz w:val="18"/>
                <w:szCs w:val="18"/>
                <w:b w:val="1"/>
                <w:bCs w:val="1"/>
                <w:color w:val="auto"/>
                <w:w w:val="90"/>
              </w:rPr>
              <w:t>London</w:t>
            </w:r>
          </w:p>
        </w:tc>
        <w:tc>
          <w:tcPr>
            <w:tcW w:w="2940" w:type="dxa"/>
            <w:vAlign w:val="bottom"/>
          </w:tcPr>
          <w:p>
            <w:pPr>
              <w:spacing w:after="0"/>
              <w:rPr>
                <w:sz w:val="19"/>
                <w:szCs w:val="19"/>
                <w:color w:val="auto"/>
              </w:rPr>
            </w:pPr>
          </w:p>
        </w:tc>
        <w:tc>
          <w:tcPr>
            <w:tcW w:w="3360" w:type="dxa"/>
            <w:vAlign w:val="bottom"/>
          </w:tcPr>
          <w:p>
            <w:pPr>
              <w:spacing w:after="0"/>
              <w:rPr>
                <w:sz w:val="19"/>
                <w:szCs w:val="19"/>
                <w:color w:val="auto"/>
              </w:rPr>
            </w:pPr>
          </w:p>
        </w:tc>
      </w:tr>
      <w:tr>
        <w:trPr>
          <w:trHeight w:val="234"/>
        </w:trPr>
        <w:tc>
          <w:tcPr>
            <w:tcW w:w="4120" w:type="dxa"/>
            <w:vAlign w:val="bottom"/>
          </w:tcPr>
          <w:p>
            <w:pPr>
              <w:jc w:val="center"/>
              <w:ind w:left="710"/>
              <w:spacing w:after="0"/>
              <w:rPr>
                <w:sz w:val="20"/>
                <w:szCs w:val="20"/>
                <w:color w:val="auto"/>
              </w:rPr>
            </w:pPr>
            <w:r>
              <w:rPr>
                <w:rFonts w:ascii="Arial" w:cs="Arial" w:eastAsia="Arial" w:hAnsi="Arial"/>
                <w:sz w:val="18"/>
                <w:szCs w:val="18"/>
                <w:b w:val="1"/>
                <w:bCs w:val="1"/>
                <w:color w:val="auto"/>
                <w:w w:val="92"/>
              </w:rPr>
              <w:t>United Kingdom</w:t>
            </w:r>
          </w:p>
        </w:tc>
        <w:tc>
          <w:tcPr>
            <w:tcW w:w="2940" w:type="dxa"/>
            <w:vAlign w:val="bottom"/>
          </w:tcPr>
          <w:p>
            <w:pPr>
              <w:spacing w:after="0"/>
              <w:rPr>
                <w:sz w:val="20"/>
                <w:szCs w:val="20"/>
                <w:color w:val="auto"/>
              </w:rPr>
            </w:pPr>
          </w:p>
        </w:tc>
        <w:tc>
          <w:tcPr>
            <w:tcW w:w="3360" w:type="dxa"/>
            <w:vAlign w:val="bottom"/>
          </w:tcPr>
          <w:p>
            <w:pPr>
              <w:ind w:left="700"/>
              <w:spacing w:after="0"/>
              <w:rPr>
                <w:sz w:val="20"/>
                <w:szCs w:val="20"/>
                <w:color w:val="auto"/>
              </w:rPr>
            </w:pPr>
            <w:r>
              <w:rPr>
                <w:rFonts w:ascii="Arial" w:cs="Arial" w:eastAsia="Arial" w:hAnsi="Arial"/>
                <w:sz w:val="18"/>
                <w:szCs w:val="18"/>
                <w:b w:val="1"/>
                <w:bCs w:val="1"/>
                <w:color w:val="auto"/>
              </w:rPr>
              <w:t>EC4M 8AP</w:t>
            </w:r>
          </w:p>
        </w:tc>
      </w:tr>
      <w:tr>
        <w:trPr>
          <w:trHeight w:val="283"/>
        </w:trPr>
        <w:tc>
          <w:tcPr>
            <w:tcW w:w="4120" w:type="dxa"/>
            <w:vAlign w:val="bottom"/>
          </w:tcPr>
          <w:p>
            <w:pPr>
              <w:jc w:val="center"/>
              <w:ind w:left="710"/>
              <w:spacing w:after="0"/>
              <w:rPr>
                <w:sz w:val="20"/>
                <w:szCs w:val="20"/>
                <w:color w:val="auto"/>
              </w:rPr>
            </w:pPr>
            <w:r>
              <w:rPr>
                <w:rFonts w:ascii="Arial" w:cs="Arial" w:eastAsia="Arial" w:hAnsi="Arial"/>
                <w:sz w:val="18"/>
                <w:szCs w:val="18"/>
                <w:color w:val="auto"/>
                <w:w w:val="92"/>
              </w:rPr>
              <w:t>(Address of principal executive offices)</w:t>
            </w:r>
          </w:p>
        </w:tc>
        <w:tc>
          <w:tcPr>
            <w:tcW w:w="2940" w:type="dxa"/>
            <w:vAlign w:val="bottom"/>
          </w:tcPr>
          <w:p>
            <w:pPr>
              <w:spacing w:after="0"/>
              <w:rPr>
                <w:sz w:val="24"/>
                <w:szCs w:val="24"/>
                <w:color w:val="auto"/>
              </w:rPr>
            </w:pPr>
          </w:p>
        </w:tc>
        <w:tc>
          <w:tcPr>
            <w:tcW w:w="3360" w:type="dxa"/>
            <w:vAlign w:val="bottom"/>
          </w:tcPr>
          <w:p>
            <w:pPr>
              <w:ind w:left="740"/>
              <w:spacing w:after="0"/>
              <w:rPr>
                <w:sz w:val="20"/>
                <w:szCs w:val="20"/>
                <w:color w:val="auto"/>
              </w:rPr>
            </w:pPr>
            <w:r>
              <w:rPr>
                <w:rFonts w:ascii="Arial" w:cs="Arial" w:eastAsia="Arial" w:hAnsi="Arial"/>
                <w:sz w:val="18"/>
                <w:szCs w:val="18"/>
                <w:color w:val="auto"/>
              </w:rPr>
              <w:t>(Zip Code)</w:t>
            </w:r>
          </w:p>
        </w:tc>
      </w:tr>
      <w:tr>
        <w:trPr>
          <w:trHeight w:val="486"/>
        </w:trPr>
        <w:tc>
          <w:tcPr>
            <w:tcW w:w="4120" w:type="dxa"/>
            <w:vAlign w:val="bottom"/>
          </w:tcPr>
          <w:p>
            <w:pPr>
              <w:spacing w:after="0"/>
              <w:rPr>
                <w:sz w:val="24"/>
                <w:szCs w:val="24"/>
                <w:color w:val="auto"/>
              </w:rPr>
            </w:pPr>
          </w:p>
        </w:tc>
        <w:tc>
          <w:tcPr>
            <w:tcW w:w="2940" w:type="dxa"/>
            <w:vAlign w:val="bottom"/>
          </w:tcPr>
          <w:p>
            <w:pPr>
              <w:jc w:val="right"/>
              <w:ind w:right="970"/>
              <w:spacing w:after="0"/>
              <w:rPr>
                <w:sz w:val="20"/>
                <w:szCs w:val="20"/>
                <w:color w:val="auto"/>
              </w:rPr>
            </w:pPr>
            <w:r>
              <w:rPr>
                <w:rFonts w:ascii="Arial" w:cs="Arial" w:eastAsia="Arial" w:hAnsi="Arial"/>
                <w:sz w:val="18"/>
                <w:szCs w:val="18"/>
                <w:b w:val="1"/>
                <w:bCs w:val="1"/>
                <w:color w:val="auto"/>
              </w:rPr>
              <w:t>+44 203-429-3950</w:t>
            </w:r>
          </w:p>
        </w:tc>
        <w:tc>
          <w:tcPr>
            <w:tcW w:w="3360" w:type="dxa"/>
            <w:vAlign w:val="bottom"/>
          </w:tcPr>
          <w:p>
            <w:pPr>
              <w:spacing w:after="0"/>
              <w:rPr>
                <w:sz w:val="24"/>
                <w:szCs w:val="24"/>
                <w:color w:val="auto"/>
              </w:rPr>
            </w:pPr>
          </w:p>
        </w:tc>
      </w:tr>
    </w:tbl>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2216785</wp:posOffset>
            </wp:positionH>
            <wp:positionV relativeFrom="paragraph">
              <wp:posOffset>160020</wp:posOffset>
            </wp:positionV>
            <wp:extent cx="270891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708910" cy="17145"/>
                    </a:xfrm>
                    <a:prstGeom prst="rect">
                      <a:avLst/>
                    </a:prstGeom>
                    <a:noFill/>
                  </pic:spPr>
                </pic:pic>
              </a:graphicData>
            </a:graphic>
          </wp:anchor>
        </w:drawing>
      </w:r>
    </w:p>
    <w:p>
      <w:pPr>
        <w:spacing w:after="0" w:line="200" w:lineRule="exact"/>
        <w:rPr>
          <w:sz w:val="24"/>
          <w:szCs w:val="24"/>
          <w:color w:val="auto"/>
        </w:rPr>
      </w:pPr>
    </w:p>
    <w:p>
      <w:pPr>
        <w:spacing w:after="0" w:line="288"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4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50" w:lineRule="exact"/>
        <w:rPr>
          <w:sz w:val="24"/>
          <w:szCs w:val="24"/>
          <w:color w:val="auto"/>
        </w:rPr>
      </w:pPr>
    </w:p>
    <w:tbl>
      <w:tblPr>
        <w:tblLayout w:type="fixed"/>
        <w:tblInd w:w="360" w:type="dxa"/>
        <w:tblCellMar>
          <w:top w:w="0" w:type="dxa"/>
          <w:left w:w="0" w:type="dxa"/>
          <w:bottom w:w="0" w:type="dxa"/>
          <w:right w:w="0" w:type="dxa"/>
        </w:tblCellMar>
      </w:tblPr>
      <w:tr>
        <w:trPr>
          <w:trHeight w:val="261"/>
        </w:trPr>
        <w:tc>
          <w:tcPr>
            <w:tcW w:w="3860" w:type="dxa"/>
            <w:vAlign w:val="bottom"/>
          </w:tcPr>
          <w:p>
            <w:pPr>
              <w:jc w:val="center"/>
              <w:ind w:right="730"/>
              <w:spacing w:after="0"/>
              <w:rPr>
                <w:sz w:val="20"/>
                <w:szCs w:val="20"/>
                <w:color w:val="auto"/>
              </w:rPr>
            </w:pPr>
            <w:r>
              <w:rPr>
                <w:rFonts w:ascii="Arial" w:cs="Arial" w:eastAsia="Arial" w:hAnsi="Arial"/>
                <w:sz w:val="18"/>
                <w:szCs w:val="18"/>
                <w:b w:val="1"/>
                <w:bCs w:val="1"/>
                <w:color w:val="auto"/>
                <w:w w:val="89"/>
              </w:rPr>
              <w:t>Title of Each Class</w:t>
            </w:r>
          </w:p>
        </w:tc>
        <w:tc>
          <w:tcPr>
            <w:tcW w:w="274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Trading Symbol</w:t>
            </w:r>
          </w:p>
        </w:tc>
        <w:tc>
          <w:tcPr>
            <w:tcW w:w="4200" w:type="dxa"/>
            <w:vAlign w:val="bottom"/>
          </w:tcPr>
          <w:p>
            <w:pPr>
              <w:jc w:val="center"/>
              <w:ind w:left="590"/>
              <w:spacing w:after="0"/>
              <w:rPr>
                <w:sz w:val="20"/>
                <w:szCs w:val="20"/>
                <w:color w:val="auto"/>
              </w:rPr>
            </w:pPr>
            <w:r>
              <w:rPr>
                <w:rFonts w:ascii="Arial" w:cs="Arial" w:eastAsia="Arial" w:hAnsi="Arial"/>
                <w:sz w:val="18"/>
                <w:szCs w:val="18"/>
                <w:b w:val="1"/>
                <w:bCs w:val="1"/>
                <w:color w:val="auto"/>
                <w:w w:val="89"/>
              </w:rPr>
              <w:t>Name of Each Exchange on Which Registered</w:t>
            </w:r>
          </w:p>
        </w:tc>
      </w:tr>
      <w:tr>
        <w:trPr>
          <w:trHeight w:val="311"/>
        </w:trPr>
        <w:tc>
          <w:tcPr>
            <w:tcW w:w="3860" w:type="dxa"/>
            <w:vAlign w:val="bottom"/>
          </w:tcPr>
          <w:p>
            <w:pPr>
              <w:jc w:val="center"/>
              <w:ind w:right="730"/>
              <w:spacing w:after="0"/>
              <w:rPr>
                <w:sz w:val="20"/>
                <w:szCs w:val="20"/>
                <w:color w:val="auto"/>
              </w:rPr>
            </w:pPr>
            <w:r>
              <w:rPr>
                <w:rFonts w:ascii="Arial" w:cs="Arial" w:eastAsia="Arial" w:hAnsi="Arial"/>
                <w:sz w:val="18"/>
                <w:szCs w:val="18"/>
                <w:color w:val="auto"/>
                <w:w w:val="88"/>
              </w:rPr>
              <w:t>Ordinary shares, $1.00 par value per share</w:t>
            </w:r>
          </w:p>
        </w:tc>
        <w:tc>
          <w:tcPr>
            <w:tcW w:w="2740" w:type="dxa"/>
            <w:vAlign w:val="bottom"/>
          </w:tcPr>
          <w:p>
            <w:pPr>
              <w:jc w:val="center"/>
              <w:ind w:left="50"/>
              <w:spacing w:after="0"/>
              <w:rPr>
                <w:sz w:val="20"/>
                <w:szCs w:val="20"/>
                <w:color w:val="auto"/>
              </w:rPr>
            </w:pPr>
            <w:r>
              <w:rPr>
                <w:rFonts w:ascii="Arial" w:cs="Arial" w:eastAsia="Arial" w:hAnsi="Arial"/>
                <w:sz w:val="18"/>
                <w:szCs w:val="18"/>
                <w:color w:val="auto"/>
              </w:rPr>
              <w:t>FTI</w:t>
            </w:r>
          </w:p>
        </w:tc>
        <w:tc>
          <w:tcPr>
            <w:tcW w:w="4200" w:type="dxa"/>
            <w:vAlign w:val="bottom"/>
          </w:tcPr>
          <w:p>
            <w:pPr>
              <w:jc w:val="center"/>
              <w:ind w:left="610"/>
              <w:spacing w:after="0"/>
              <w:rPr>
                <w:sz w:val="20"/>
                <w:szCs w:val="20"/>
                <w:color w:val="auto"/>
              </w:rPr>
            </w:pPr>
            <w:r>
              <w:rPr>
                <w:rFonts w:ascii="Arial" w:cs="Arial" w:eastAsia="Arial" w:hAnsi="Arial"/>
                <w:sz w:val="18"/>
                <w:szCs w:val="18"/>
                <w:color w:val="auto"/>
                <w:w w:val="91"/>
              </w:rPr>
              <w:t>New York Stock Exchange</w:t>
            </w:r>
          </w:p>
        </w:tc>
      </w:tr>
    </w:tbl>
    <w:p>
      <w:pPr>
        <w:spacing w:after="0" w:line="17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Securities registered pursuant to Section 12(g) of the Act: </w:t>
      </w:r>
      <w:r>
        <w:rPr>
          <w:rFonts w:ascii="Arial" w:cs="Arial" w:eastAsia="Arial" w:hAnsi="Arial"/>
          <w:sz w:val="18"/>
          <w:szCs w:val="18"/>
          <w:color w:val="auto"/>
        </w:rPr>
        <w:t>None.</w:t>
      </w:r>
    </w:p>
    <w:p>
      <w:pPr>
        <w:spacing w:after="0" w:line="229"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184785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279400</wp:posOffset>
            </wp:positionV>
            <wp:extent cx="71323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424815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35" w:right="339" w:bottom="1440" w:gutter="0" w:footer="0" w:header="0"/>
        </w:sectPr>
      </w:pPr>
    </w:p>
    <w:bookmarkStart w:id="1" w:name="page2"/>
    <w:bookmarkEnd w:id="1"/>
    <w:p>
      <w:pPr>
        <w:ind w:left="1300" w:right="1120" w:hanging="1295"/>
        <w:spacing w:after="0" w:line="282" w:lineRule="auto"/>
        <w:tabs>
          <w:tab w:leader="none" w:pos="12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9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February 23, 2021, upon the recommendation of the Environmental, Social, and Governance Committee (the “Committee”) of the Board of Directors (the “Board”) of TechnipFMC plc (the “Company”), the Board elected Sophie Zurquiyah to the Board and appointed Ms. Zurquiyah to the Audit Committee of the Board, effective April 1, 2021. In connection with the election of Ms. Zurquiyah, effective April 1, 2021, the Board will increase its size from nine to ten directors.</w:t>
      </w:r>
    </w:p>
    <w:p>
      <w:pPr>
        <w:spacing w:after="0" w:line="21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her service, Ms. Zurquiyah will receive compensation commensurate with that received by the Company’s other non-executive directors as disclosed under the caption “Director Compensation” in the Company’s Definitive Proxy Statement, filed with the U.S. Securities and Exchange Commission on March 13, 2020, prorated to reflect her length of service in 2021. Such compensation is in accordance with the Company’s shareholder-approved Director Remuneration Policy.</w:t>
      </w:r>
    </w:p>
    <w:p>
      <w:pPr>
        <w:spacing w:after="0" w:line="21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5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March 1, 2021, the Company issued a news release announcing Ms. Zurquiyah’s election to the Board, a copy of which is filed herewith as Exhibit 99.1.</w:t>
      </w:r>
    </w:p>
    <w:p>
      <w:pPr>
        <w:spacing w:after="0" w:line="19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information set forth in this Item 7.01, including Exhibit 99.1, is being furnished and shall not be deemed “filed” for purposes of Section 18 of the Securities Exchange Act of 1934, as amended (the “Exchange Act”), or otherwise subject to the liabilities of that Section. The information in this Item 7.01, including Exhibit 99.1, shall not be deemed incorporated by reference into any filing under the Securities Act of 1933, as amended, or the Exchange Act, except as shall be expressly set forth by specific reference in such a filing.</w:t>
      </w:r>
    </w:p>
    <w:p>
      <w:pPr>
        <w:spacing w:after="0" w:line="21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56" w:lineRule="exact"/>
        <w:rPr>
          <w:sz w:val="20"/>
          <w:szCs w:val="20"/>
          <w:color w:val="auto"/>
        </w:rPr>
      </w:pPr>
    </w:p>
    <w:p>
      <w:pPr>
        <w:ind w:left="660" w:hanging="652"/>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316" w:lineRule="exact"/>
        <w:rPr>
          <w:sz w:val="20"/>
          <w:szCs w:val="20"/>
          <w:color w:val="auto"/>
        </w:rPr>
      </w:pPr>
    </w:p>
    <w:p>
      <w:pPr>
        <w:ind w:left="20"/>
        <w:spacing w:after="0"/>
        <w:tabs>
          <w:tab w:leader="none" w:pos="112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 of Exhibit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01" w:lineRule="exact"/>
        <w:rPr>
          <w:sz w:val="20"/>
          <w:szCs w:val="20"/>
          <w:color w:val="auto"/>
        </w:rPr>
      </w:pPr>
    </w:p>
    <w:p>
      <w:pPr>
        <w:ind w:left="600"/>
        <w:spacing w:after="0"/>
        <w:tabs>
          <w:tab w:leader="none" w:pos="1120" w:val="left"/>
        </w:tabs>
        <w:rPr>
          <w:rFonts w:ascii="Arial" w:cs="Arial" w:eastAsia="Arial" w:hAnsi="Arial"/>
          <w:sz w:val="18"/>
          <w:szCs w:val="18"/>
          <w:color w:val="0000EE"/>
        </w:rPr>
      </w:pPr>
      <w:hyperlink w:anchor="page4">
        <w:r>
          <w:rPr>
            <w:rFonts w:ascii="Arial" w:cs="Arial" w:eastAsia="Arial" w:hAnsi="Arial"/>
            <w:sz w:val="18"/>
            <w:szCs w:val="18"/>
            <w:u w:val="single" w:color="auto"/>
            <w:color w:val="0000EE"/>
          </w:rPr>
          <w:t>99.1</w:t>
        </w:r>
      </w:hyperlink>
      <w:r>
        <w:rPr>
          <w:rFonts w:ascii="Arial" w:cs="Arial" w:eastAsia="Arial" w:hAnsi="Arial"/>
          <w:sz w:val="18"/>
          <w:szCs w:val="18"/>
          <w:color w:val="0000EE"/>
        </w:rPr>
        <w:tab/>
      </w:r>
      <w:r>
        <w:rPr>
          <w:rFonts w:ascii="Arial" w:cs="Arial" w:eastAsia="Arial" w:hAnsi="Arial"/>
          <w:sz w:val="16"/>
          <w:szCs w:val="16"/>
          <w:color w:val="0000EE"/>
        </w:rPr>
        <w:t>News Release issued by TechnipFMC plc dated March 1, 2021</w:t>
      </w:r>
    </w:p>
    <w:p>
      <w:pPr>
        <w:spacing w:after="0" w:line="104" w:lineRule="exact"/>
        <w:rPr>
          <w:sz w:val="20"/>
          <w:szCs w:val="20"/>
          <w:color w:val="auto"/>
        </w:rPr>
      </w:pPr>
    </w:p>
    <w:p>
      <w:pPr>
        <w:ind w:left="640"/>
        <w:spacing w:after="0"/>
        <w:tabs>
          <w:tab w:leader="none" w:pos="1120" w:val="left"/>
        </w:tabs>
        <w:rPr>
          <w:sz w:val="20"/>
          <w:szCs w:val="20"/>
          <w:color w:val="auto"/>
        </w:rPr>
      </w:pPr>
      <w:r>
        <w:rPr>
          <w:rFonts w:ascii="Arial" w:cs="Arial" w:eastAsia="Arial" w:hAnsi="Arial"/>
          <w:sz w:val="18"/>
          <w:szCs w:val="18"/>
          <w:color w:val="auto"/>
        </w:rPr>
        <w:t>104</w:t>
        <w:tab/>
        <w:t>Cover Page Interactive Data File (formatted as Inline XBRL and contained in 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34" w:lineRule="exact"/>
        <w:rPr>
          <w:sz w:val="20"/>
          <w:szCs w:val="20"/>
          <w:color w:val="auto"/>
        </w:rPr>
      </w:pPr>
    </w:p>
    <w:p>
      <w:pPr>
        <w:ind w:left="2820"/>
        <w:spacing w:after="0"/>
        <w:rPr>
          <w:sz w:val="20"/>
          <w:szCs w:val="20"/>
          <w:color w:val="auto"/>
        </w:rPr>
      </w:pPr>
      <w:r>
        <w:rPr>
          <w:rFonts w:ascii="Arial" w:cs="Arial" w:eastAsia="Arial" w:hAnsi="Arial"/>
          <w:sz w:val="18"/>
          <w:szCs w:val="18"/>
          <w:b w:val="1"/>
          <w:bCs w:val="1"/>
          <w:color w:val="auto"/>
        </w:rPr>
        <w:t>TechnipFMC plc</w:t>
      </w:r>
    </w:p>
    <w:p>
      <w:pPr>
        <w:spacing w:after="0" w:line="324"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By: /s/ Victoria Lazar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31750</wp:posOffset>
            </wp:positionV>
            <wp:extent cx="534924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349240" cy="17145"/>
                    </a:xfrm>
                    <a:prstGeom prst="rect">
                      <a:avLst/>
                    </a:prstGeom>
                    <a:noFill/>
                  </pic:spPr>
                </pic:pic>
              </a:graphicData>
            </a:graphic>
          </wp:anchor>
        </w:drawing>
      </w:r>
    </w:p>
    <w:p>
      <w:pPr>
        <w:spacing w:after="0" w:line="97" w:lineRule="exact"/>
        <w:rPr>
          <w:sz w:val="20"/>
          <w:szCs w:val="20"/>
          <w:color w:val="auto"/>
        </w:rPr>
      </w:pPr>
    </w:p>
    <w:p>
      <w:pPr>
        <w:spacing w:after="0"/>
        <w:tabs>
          <w:tab w:leader="none" w:pos="2800" w:val="left"/>
        </w:tabs>
        <w:rPr>
          <w:sz w:val="20"/>
          <w:szCs w:val="20"/>
          <w:color w:val="auto"/>
        </w:rPr>
      </w:pPr>
      <w:r>
        <w:rPr>
          <w:rFonts w:ascii="Arial" w:cs="Arial" w:eastAsia="Arial" w:hAnsi="Arial"/>
          <w:sz w:val="18"/>
          <w:szCs w:val="18"/>
          <w:color w:val="auto"/>
        </w:rPr>
        <w:t>Dated: March 1, 2021</w:t>
      </w:r>
      <w:r>
        <w:rPr>
          <w:sz w:val="20"/>
          <w:szCs w:val="20"/>
          <w:color w:val="auto"/>
        </w:rPr>
        <w:tab/>
      </w:r>
      <w:r>
        <w:rPr>
          <w:rFonts w:ascii="Arial" w:cs="Arial" w:eastAsia="Arial" w:hAnsi="Arial"/>
          <w:sz w:val="16"/>
          <w:szCs w:val="16"/>
          <w:color w:val="auto"/>
        </w:rPr>
        <w:t>Name: Victoria Lazar</w:t>
      </w:r>
    </w:p>
    <w:p>
      <w:pPr>
        <w:spacing w:after="0" w:line="104" w:lineRule="exact"/>
        <w:rPr>
          <w:sz w:val="20"/>
          <w:szCs w:val="20"/>
          <w:color w:val="auto"/>
        </w:rPr>
      </w:pPr>
    </w:p>
    <w:p>
      <w:pPr>
        <w:ind w:left="2820"/>
        <w:spacing w:after="0"/>
        <w:rPr>
          <w:sz w:val="20"/>
          <w:szCs w:val="20"/>
          <w:color w:val="auto"/>
        </w:rPr>
      </w:pPr>
      <w:r>
        <w:rPr>
          <w:rFonts w:ascii="Arial" w:cs="Arial" w:eastAsia="Arial" w:hAnsi="Arial"/>
          <w:sz w:val="18"/>
          <w:szCs w:val="18"/>
          <w:color w:val="auto"/>
        </w:rPr>
        <w:t>Title:  Executive Vice President, Chief Legal Officer, and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366395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83"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154305</wp:posOffset>
            </wp:positionV>
            <wp:extent cx="2580005" cy="5575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580005" cy="557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color w:val="auto"/>
        </w:rPr>
        <w:t>Press Release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TechnipFMC appoints Sophie Zurquiyah to its Board of Directors</w:t>
      </w:r>
    </w:p>
    <w:p>
      <w:pPr>
        <w:spacing w:after="0" w:line="225"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 xml:space="preserve">LONDON, PARIS, HOUSTON, March 1, 2020 </w:t>
      </w:r>
      <w:r>
        <w:rPr>
          <w:rFonts w:ascii="Arial" w:cs="Arial" w:eastAsia="Arial" w:hAnsi="Arial"/>
          <w:sz w:val="18"/>
          <w:szCs w:val="18"/>
          <w:color w:val="auto"/>
        </w:rPr>
        <w:t>— TechnipFMC (NYSE: FTI) (PARIS: FTI) announces that Sophie Zurquiyah, Chief Executive Officer</w:t>
      </w:r>
      <w:r>
        <w:rPr>
          <w:rFonts w:ascii="Arial" w:cs="Arial" w:eastAsia="Arial" w:hAnsi="Arial"/>
          <w:sz w:val="18"/>
          <w:szCs w:val="18"/>
          <w:b w:val="1"/>
          <w:bCs w:val="1"/>
          <w:color w:val="auto"/>
        </w:rPr>
        <w:t xml:space="preserve"> </w:t>
      </w:r>
      <w:r>
        <w:rPr>
          <w:rFonts w:ascii="Arial" w:cs="Arial" w:eastAsia="Arial" w:hAnsi="Arial"/>
          <w:sz w:val="18"/>
          <w:szCs w:val="18"/>
          <w:color w:val="auto"/>
        </w:rPr>
        <w:t>of CGG S.A., has been appointed to its Board of Directors and Audit Committee, effective April 1, 2021.</w:t>
      </w:r>
    </w:p>
    <w:p>
      <w:pPr>
        <w:spacing w:after="0" w:line="16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Doug Pferdehirt, Chairman and CEO of TechnipFMC, stated: “I am delighted to welcome Sophie to the Board. She brings a depth of knowledge to our Board, established over 30 years in our industry. With a background in geophysics, technology, sustainability, and digital transformation, Sophie is a proven global business leader who has experience as an executive and board member with international public companies. Her skillset strengthens our Board of Directors and broadens its understanding and abilities.”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Sophie Zurquiyah</w:t>
      </w:r>
    </w:p>
    <w:p>
      <w:pPr>
        <w:spacing w:after="0" w:line="22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Ms. Zurquiyah, 54, has served as the Chief Executive Officer at CGG S.A., a global geoscience technology leader, since 2018. Ms. Zurquiyah joined CGG in 2013 and has held a succession of leadership positions, including as Chief Operating Officer and Senior Executive Vice President in charge of the Geology, Geophysics and Reservoir division. Ms. Zurquiyah began her career at Schlumberger in 1991 as a geophysicist and held a variety of executive positions, including Vice President of Technology Sustaining, President, Data and Consulting Services and Chief Information Officer. Ms. Zurquiyah also serves on the Board of Directors of Safran S.A. Ms. Zurquiyah is a graduate of the Ecole Centrale de Paris and holds a Master of Science in Numerical Analysis from the Pierre and Marie Curie University (Paris 6), as well as a Master of Science in Aerospace Engineering from the University of Colorado.</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 of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83"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TechnipFMC</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TechnipFMC is a leading technology provider to the traditional and new energies industries; delivering fully integrated projects, products, and services.</w:t>
      </w:r>
    </w:p>
    <w:p>
      <w:pPr>
        <w:spacing w:after="0" w:line="24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With our proprietary technologies and comprehensive solutions, we are transforming our clients’ project economics, helping them unlock new possibilities to develop energy resources while reducing carbon intensity and supporting their energy transition ambitions.</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Organized in two business segments — Subsea and Surface Technologies — we will continue to advance the industry with our pioneering integrated ecosystems (such as iEPCI™, iFEED™ and iComplete™), technology leadership and digital innovation.</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Each of our approximately 20,000 employees is driven by a commitment to our clients’ success, and a culture of strong execution, purposeful innovation, and challenging industry conventions.</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TechnipFMC uses its website as a channel of distribution of material company information. To learn more about how we are driving change in the industry, go to www.TechnipFMC.com and follow us on Twitter @TechnipFMC.</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900" w:type="dxa"/>
            <w:vAlign w:val="bottom"/>
          </w:tcPr>
          <w:p>
            <w:pPr>
              <w:spacing w:after="0"/>
              <w:rPr>
                <w:sz w:val="20"/>
                <w:szCs w:val="20"/>
                <w:color w:val="auto"/>
              </w:rPr>
            </w:pPr>
            <w:r>
              <w:rPr>
                <w:rFonts w:ascii="Arial" w:cs="Arial" w:eastAsia="Arial" w:hAnsi="Arial"/>
                <w:sz w:val="18"/>
                <w:szCs w:val="18"/>
                <w:b w:val="1"/>
                <w:bCs w:val="1"/>
                <w:color w:val="auto"/>
              </w:rPr>
              <w:t>Investor relations</w:t>
            </w:r>
          </w:p>
        </w:tc>
        <w:tc>
          <w:tcPr>
            <w:tcW w:w="7340" w:type="dxa"/>
            <w:vAlign w:val="bottom"/>
          </w:tcPr>
          <w:p>
            <w:pPr>
              <w:ind w:left="1720"/>
              <w:spacing w:after="0"/>
              <w:rPr>
                <w:sz w:val="20"/>
                <w:szCs w:val="20"/>
                <w:color w:val="auto"/>
              </w:rPr>
            </w:pPr>
            <w:r>
              <w:rPr>
                <w:rFonts w:ascii="Arial" w:cs="Arial" w:eastAsia="Arial" w:hAnsi="Arial"/>
                <w:sz w:val="18"/>
                <w:szCs w:val="18"/>
                <w:b w:val="1"/>
                <w:bCs w:val="1"/>
                <w:color w:val="auto"/>
              </w:rPr>
              <w:t>Media relations</w:t>
            </w:r>
          </w:p>
        </w:tc>
      </w:tr>
      <w:tr>
        <w:trPr>
          <w:trHeight w:val="418"/>
        </w:trPr>
        <w:tc>
          <w:tcPr>
            <w:tcW w:w="3900" w:type="dxa"/>
            <w:vAlign w:val="bottom"/>
          </w:tcPr>
          <w:p>
            <w:pPr>
              <w:spacing w:after="0"/>
              <w:rPr>
                <w:sz w:val="20"/>
                <w:szCs w:val="20"/>
                <w:color w:val="auto"/>
              </w:rPr>
            </w:pPr>
            <w:r>
              <w:rPr>
                <w:rFonts w:ascii="Arial" w:cs="Arial" w:eastAsia="Arial" w:hAnsi="Arial"/>
                <w:sz w:val="18"/>
                <w:szCs w:val="18"/>
                <w:color w:val="auto"/>
              </w:rPr>
              <w:t>Matt Seinsheimer</w:t>
            </w:r>
          </w:p>
        </w:tc>
        <w:tc>
          <w:tcPr>
            <w:tcW w:w="7340" w:type="dxa"/>
            <w:vAlign w:val="bottom"/>
          </w:tcPr>
          <w:p>
            <w:pPr>
              <w:ind w:left="1720"/>
              <w:spacing w:after="0"/>
              <w:rPr>
                <w:sz w:val="20"/>
                <w:szCs w:val="20"/>
                <w:color w:val="auto"/>
              </w:rPr>
            </w:pPr>
            <w:r>
              <w:rPr>
                <w:rFonts w:ascii="Arial" w:cs="Arial" w:eastAsia="Arial" w:hAnsi="Arial"/>
                <w:sz w:val="18"/>
                <w:szCs w:val="18"/>
                <w:color w:val="auto"/>
              </w:rPr>
              <w:t>Nicola Cameron</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Vice President Investor Relations</w:t>
            </w:r>
          </w:p>
        </w:tc>
        <w:tc>
          <w:tcPr>
            <w:tcW w:w="7340" w:type="dxa"/>
            <w:vAlign w:val="bottom"/>
          </w:tcPr>
          <w:p>
            <w:pPr>
              <w:ind w:left="1720"/>
              <w:spacing w:after="0"/>
              <w:rPr>
                <w:sz w:val="20"/>
                <w:szCs w:val="20"/>
                <w:color w:val="auto"/>
              </w:rPr>
            </w:pPr>
            <w:r>
              <w:rPr>
                <w:rFonts w:ascii="Arial" w:cs="Arial" w:eastAsia="Arial" w:hAnsi="Arial"/>
                <w:sz w:val="18"/>
                <w:szCs w:val="18"/>
                <w:color w:val="auto"/>
              </w:rPr>
              <w:t>Vice President Corporate Communications</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Tel: +1 281 260 3665</w:t>
            </w:r>
          </w:p>
        </w:tc>
        <w:tc>
          <w:tcPr>
            <w:tcW w:w="7340" w:type="dxa"/>
            <w:vAlign w:val="bottom"/>
          </w:tcPr>
          <w:p>
            <w:pPr>
              <w:ind w:left="1720"/>
              <w:spacing w:after="0"/>
              <w:rPr>
                <w:sz w:val="20"/>
                <w:szCs w:val="20"/>
                <w:color w:val="auto"/>
              </w:rPr>
            </w:pPr>
            <w:r>
              <w:rPr>
                <w:rFonts w:ascii="Arial" w:cs="Arial" w:eastAsia="Arial" w:hAnsi="Arial"/>
                <w:sz w:val="18"/>
                <w:szCs w:val="18"/>
                <w:color w:val="auto"/>
              </w:rPr>
              <w:t>Tel: +44 1383 742297</w:t>
            </w:r>
          </w:p>
        </w:tc>
      </w:tr>
      <w:tr>
        <w:trPr>
          <w:trHeight w:val="230"/>
        </w:trPr>
        <w:tc>
          <w:tcPr>
            <w:tcW w:w="3900" w:type="dxa"/>
            <w:vAlign w:val="bottom"/>
          </w:tcPr>
          <w:p>
            <w:pPr>
              <w:spacing w:after="0"/>
              <w:rPr>
                <w:sz w:val="20"/>
                <w:szCs w:val="20"/>
                <w:color w:val="auto"/>
              </w:rPr>
            </w:pPr>
            <w:r>
              <w:rPr>
                <w:rFonts w:ascii="Arial" w:cs="Arial" w:eastAsia="Arial" w:hAnsi="Arial"/>
                <w:sz w:val="18"/>
                <w:szCs w:val="18"/>
                <w:color w:val="auto"/>
              </w:rPr>
              <w:t>Email: Matt Seinsheimer</w:t>
            </w:r>
          </w:p>
        </w:tc>
        <w:tc>
          <w:tcPr>
            <w:tcW w:w="7340" w:type="dxa"/>
            <w:vAlign w:val="bottom"/>
          </w:tcPr>
          <w:p>
            <w:pPr>
              <w:ind w:left="1720"/>
              <w:spacing w:after="0"/>
              <w:rPr>
                <w:sz w:val="20"/>
                <w:szCs w:val="20"/>
                <w:color w:val="auto"/>
              </w:rPr>
            </w:pPr>
            <w:r>
              <w:rPr>
                <w:rFonts w:ascii="Arial" w:cs="Arial" w:eastAsia="Arial" w:hAnsi="Arial"/>
                <w:sz w:val="18"/>
                <w:szCs w:val="18"/>
                <w:color w:val="auto"/>
              </w:rPr>
              <w:t>Email: Nicola Cameron</w:t>
            </w:r>
          </w:p>
        </w:tc>
      </w:tr>
      <w:tr>
        <w:trPr>
          <w:trHeight w:val="418"/>
        </w:trPr>
        <w:tc>
          <w:tcPr>
            <w:tcW w:w="3900" w:type="dxa"/>
            <w:vAlign w:val="bottom"/>
          </w:tcPr>
          <w:p>
            <w:pPr>
              <w:spacing w:after="0"/>
              <w:rPr>
                <w:sz w:val="20"/>
                <w:szCs w:val="20"/>
                <w:color w:val="auto"/>
              </w:rPr>
            </w:pPr>
            <w:r>
              <w:rPr>
                <w:rFonts w:ascii="Arial" w:cs="Arial" w:eastAsia="Arial" w:hAnsi="Arial"/>
                <w:sz w:val="18"/>
                <w:szCs w:val="18"/>
                <w:color w:val="auto"/>
              </w:rPr>
              <w:t>James Davis</w:t>
            </w:r>
          </w:p>
        </w:tc>
        <w:tc>
          <w:tcPr>
            <w:tcW w:w="7340" w:type="dxa"/>
            <w:vAlign w:val="bottom"/>
          </w:tcPr>
          <w:p>
            <w:pPr>
              <w:ind w:left="1720"/>
              <w:spacing w:after="0"/>
              <w:rPr>
                <w:sz w:val="20"/>
                <w:szCs w:val="20"/>
                <w:color w:val="auto"/>
              </w:rPr>
            </w:pPr>
            <w:r>
              <w:rPr>
                <w:rFonts w:ascii="Arial" w:cs="Arial" w:eastAsia="Arial" w:hAnsi="Arial"/>
                <w:sz w:val="18"/>
                <w:szCs w:val="18"/>
                <w:color w:val="auto"/>
              </w:rPr>
              <w:t>Brooke Robertson</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Senior Manager Investor Relations</w:t>
            </w:r>
          </w:p>
        </w:tc>
        <w:tc>
          <w:tcPr>
            <w:tcW w:w="7340" w:type="dxa"/>
            <w:vAlign w:val="bottom"/>
          </w:tcPr>
          <w:p>
            <w:pPr>
              <w:ind w:left="1720"/>
              <w:spacing w:after="0"/>
              <w:rPr>
                <w:sz w:val="20"/>
                <w:szCs w:val="20"/>
                <w:color w:val="auto"/>
              </w:rPr>
            </w:pPr>
            <w:r>
              <w:rPr>
                <w:rFonts w:ascii="Arial" w:cs="Arial" w:eastAsia="Arial" w:hAnsi="Arial"/>
                <w:sz w:val="18"/>
                <w:szCs w:val="18"/>
                <w:color w:val="auto"/>
              </w:rPr>
              <w:t>Public Relations Director</w:t>
            </w:r>
          </w:p>
        </w:tc>
      </w:tr>
      <w:tr>
        <w:trPr>
          <w:trHeight w:val="216"/>
        </w:trPr>
        <w:tc>
          <w:tcPr>
            <w:tcW w:w="3900" w:type="dxa"/>
            <w:vAlign w:val="bottom"/>
          </w:tcPr>
          <w:p>
            <w:pPr>
              <w:spacing w:after="0"/>
              <w:rPr>
                <w:sz w:val="20"/>
                <w:szCs w:val="20"/>
                <w:color w:val="auto"/>
              </w:rPr>
            </w:pPr>
            <w:r>
              <w:rPr>
                <w:rFonts w:ascii="Arial" w:cs="Arial" w:eastAsia="Arial" w:hAnsi="Arial"/>
                <w:sz w:val="18"/>
                <w:szCs w:val="18"/>
                <w:color w:val="auto"/>
              </w:rPr>
              <w:t>Tel: +1 281 260 3665</w:t>
            </w:r>
          </w:p>
        </w:tc>
        <w:tc>
          <w:tcPr>
            <w:tcW w:w="7340" w:type="dxa"/>
            <w:vAlign w:val="bottom"/>
          </w:tcPr>
          <w:p>
            <w:pPr>
              <w:ind w:left="1720"/>
              <w:spacing w:after="0"/>
              <w:rPr>
                <w:sz w:val="20"/>
                <w:szCs w:val="20"/>
                <w:color w:val="auto"/>
              </w:rPr>
            </w:pPr>
            <w:r>
              <w:rPr>
                <w:rFonts w:ascii="Arial" w:cs="Arial" w:eastAsia="Arial" w:hAnsi="Arial"/>
                <w:sz w:val="18"/>
                <w:szCs w:val="18"/>
                <w:color w:val="auto"/>
              </w:rPr>
              <w:t>Tel: +1 281 591 4108</w:t>
            </w:r>
          </w:p>
        </w:tc>
      </w:tr>
      <w:tr>
        <w:trPr>
          <w:trHeight w:val="230"/>
        </w:trPr>
        <w:tc>
          <w:tcPr>
            <w:tcW w:w="3900" w:type="dxa"/>
            <w:vAlign w:val="bottom"/>
          </w:tcPr>
          <w:p>
            <w:pPr>
              <w:spacing w:after="0"/>
              <w:rPr>
                <w:sz w:val="20"/>
                <w:szCs w:val="20"/>
                <w:color w:val="auto"/>
              </w:rPr>
            </w:pPr>
            <w:r>
              <w:rPr>
                <w:rFonts w:ascii="Arial" w:cs="Arial" w:eastAsia="Arial" w:hAnsi="Arial"/>
                <w:sz w:val="18"/>
                <w:szCs w:val="18"/>
                <w:color w:val="auto"/>
              </w:rPr>
              <w:t>Email: James Davis</w:t>
            </w:r>
          </w:p>
        </w:tc>
        <w:tc>
          <w:tcPr>
            <w:tcW w:w="7340" w:type="dxa"/>
            <w:vAlign w:val="bottom"/>
          </w:tcPr>
          <w:p>
            <w:pPr>
              <w:ind w:left="1720"/>
              <w:spacing w:after="0"/>
              <w:rPr>
                <w:sz w:val="20"/>
                <w:szCs w:val="20"/>
                <w:color w:val="auto"/>
              </w:rPr>
            </w:pPr>
            <w:r>
              <w:rPr>
                <w:rFonts w:ascii="Arial" w:cs="Arial" w:eastAsia="Arial" w:hAnsi="Arial"/>
                <w:sz w:val="18"/>
                <w:szCs w:val="18"/>
                <w:color w:val="auto"/>
              </w:rPr>
              <w:t>Email: Brooke Robertson</w:t>
            </w:r>
          </w:p>
        </w:tc>
      </w:tr>
      <w:tr>
        <w:trPr>
          <w:trHeight w:val="771"/>
        </w:trPr>
        <w:tc>
          <w:tcPr>
            <w:tcW w:w="3900" w:type="dxa"/>
            <w:vAlign w:val="bottom"/>
          </w:tcPr>
          <w:p>
            <w:pPr>
              <w:spacing w:after="0"/>
              <w:rPr>
                <w:sz w:val="24"/>
                <w:szCs w:val="24"/>
                <w:color w:val="auto"/>
              </w:rPr>
            </w:pPr>
          </w:p>
        </w:tc>
        <w:tc>
          <w:tcPr>
            <w:tcW w:w="7340" w:type="dxa"/>
            <w:vAlign w:val="bottom"/>
          </w:tcPr>
          <w:p>
            <w:pPr>
              <w:ind w:left="1400"/>
              <w:spacing w:after="0"/>
              <w:rPr>
                <w:sz w:val="20"/>
                <w:szCs w:val="20"/>
                <w:color w:val="auto"/>
              </w:rPr>
            </w:pPr>
            <w:r>
              <w:rPr>
                <w:rFonts w:ascii="Arial" w:cs="Arial" w:eastAsia="Arial" w:hAnsi="Arial"/>
                <w:sz w:val="14"/>
                <w:szCs w:val="14"/>
                <w:color w:val="auto"/>
              </w:rPr>
              <w:t>Page 2 of 2</w:t>
            </w:r>
          </w:p>
        </w:tc>
      </w:tr>
      <w:tr>
        <w:trPr>
          <w:trHeight w:val="100"/>
        </w:trPr>
        <w:tc>
          <w:tcPr>
            <w:tcW w:w="3900" w:type="dxa"/>
            <w:vAlign w:val="bottom"/>
            <w:tcBorders>
              <w:bottom w:val="single" w:sz="8" w:color="auto"/>
            </w:tcBorders>
          </w:tcPr>
          <w:p>
            <w:pPr>
              <w:spacing w:after="0"/>
              <w:rPr>
                <w:sz w:val="8"/>
                <w:szCs w:val="8"/>
                <w:color w:val="auto"/>
              </w:rPr>
            </w:pPr>
          </w:p>
        </w:tc>
        <w:tc>
          <w:tcPr>
            <w:tcW w:w="7340" w:type="dxa"/>
            <w:vAlign w:val="bottom"/>
            <w:tcBorders>
              <w:bottom w:val="single" w:sz="8" w:color="auto"/>
            </w:tcBorders>
          </w:tcPr>
          <w:p>
            <w:pPr>
              <w:spacing w:after="0"/>
              <w:rPr>
                <w:sz w:val="8"/>
                <w:szCs w:val="8"/>
                <w:color w:val="auto"/>
              </w:rPr>
            </w:pPr>
          </w:p>
        </w:tc>
      </w:tr>
    </w:tbl>
    <w:p>
      <w:pPr>
        <w:spacing w:after="0" w:line="1" w:lineRule="exact"/>
        <w:rPr>
          <w:sz w:val="20"/>
          <w:szCs w:val="20"/>
          <w:color w:val="auto"/>
        </w:rPr>
      </w:pP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2021-03-01T15:53:55Z</dcterms:created>
  <dcterms:modified xsi:type="dcterms:W3CDTF">2021-03-01T15:53:55Z</dcterms:modified>
</cp:coreProperties>
</file>