
<file path=[Content_Types].xml><?xml version="1.0" encoding="utf-8"?>
<Types xmlns="http://schemas.openxmlformats.org/package/2006/content-types">
  <Default ContentType="application/vnd.openxmlformats-officedocument.obfuscatedFont" Extension="odttf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
</file>

<file path=word/document.xml><?xml version="1.0" encoding="utf-8"?>
<w:document xmlns:w="http://schemas.openxmlformats.org/wordprocessingml/2006/main">
  <w:body>
    <w:p>
      <w:pPr>
        <w:pStyle w:val="Normal"/>
        <w:framePr w:x="0" w:y="10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Arial" w:hAnsi="Arial" w:fareast="Arial" w:cs="Arial"/>
          <w:color w:val="ff0000"/>
          <w:sz w:val="20"/>
          <w:szCs w:val="20"/>
        </w:rPr>
      </w:pPr>
      <w:r>
        <w:rPr>
          <w:rFonts w:ascii="Arial" w:hAnsi="Arial" w:fareast="Arial" w:cs="Arial"/>
          <w:color w:val="ff0000"/>
          <w:sz w:val="20"/>
          <w:szCs w:val="20"/>
        </w:rPr>
        <w:t xml:space="preserve"> </w:t>
      </w:r>
    </w:p>
    <w:p>
      <w:pPr>
        <w:pStyle w:val="Normal"/>
        <w:framePr w:w="10066" w:hAnchor="page" w:vAnchor="page" w:x="276" w:y="13647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DejaVuSans" w:hAnsi="DejaVuSans" w:fareast="DejaVuSans" w:cs="DejaVuSans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new or revised financial accounting standards provided pursuant to Section 13(a) of the Exchange Act.  </w:t>
      </w:r>
      <w:r>
        <w:rPr>
          <w:rFonts w:ascii="DejaVuSans" w:hAnsi="DejaVuSans" w:fareast="DejaVuSans" w:cs="DejaVuSans"/>
          <w:color w:val="000000"/>
          <w:w w:val="100"/>
          <w:sz w:val="19"/>
          <w:szCs w:val="19"/>
        </w:rPr>
        <w:t>☐</w:t>
      </w:r>
    </w:p>
    <w:p>
      <w:pPr>
        <w:pStyle w:val="Normal"/>
        <w:framePr w:w="14016" w:hAnchor="page" w:vAnchor="page" w:x="276" w:y="1342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If an emerging growth company, indicate by check mark if the registrant has elected not to use the extended transition period for complying with any</w:t>
      </w:r>
    </w:p>
    <w:p>
      <w:pPr>
        <w:pStyle w:val="Normal"/>
        <w:framePr w:w="3079" w:hAnchor="page" w:vAnchor="page" w:x="276" w:y="13054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DejaVuSans" w:hAnsi="DejaVuSans" w:fareast="DejaVuSans" w:cs="DejaVuSans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Emerging growth company  </w:t>
      </w:r>
      <w:r>
        <w:rPr>
          <w:rFonts w:ascii="DejaVuSans" w:hAnsi="DejaVuSans" w:fareast="DejaVuSans" w:cs="DejaVuSans"/>
          <w:color w:val="000000"/>
          <w:w w:val="100"/>
          <w:sz w:val="19"/>
          <w:szCs w:val="19"/>
        </w:rPr>
        <w:t>☐</w:t>
      </w:r>
    </w:p>
    <w:p>
      <w:pPr>
        <w:pStyle w:val="Normal"/>
        <w:framePr w:w="8735" w:hAnchor="page" w:vAnchor="page" w:x="276" w:y="1268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chapter) or Rule 12b-2 of the Securities Exchange Act of 1934 (§240.12b-2 of this chapter).</w:t>
      </w:r>
    </w:p>
    <w:p>
      <w:pPr>
        <w:pStyle w:val="Normal"/>
        <w:framePr w:w="14012" w:hAnchor="page" w:vAnchor="page" w:x="276" w:y="1245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Indicate by check mark whether the registrant is an emerging growth company as defined in Rule 405 of the Securities Act of 1933 (§230.405 of this</w:t>
      </w:r>
    </w:p>
    <w:p>
      <w:pPr>
        <w:pStyle w:val="Normal"/>
        <w:framePr w:w="6504" w:hAnchor="page" w:vAnchor="page" w:x="3563" w:y="1209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Securities registered pursuant to Section 12(g) of the Act: None.</w:t>
      </w:r>
    </w:p>
    <w:p>
      <w:pPr>
        <w:pStyle w:val="Normal"/>
        <w:framePr w:w="4461" w:hAnchor="page" w:vAnchor="page" w:x="516" w:y="1173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Ordinary shares, $1.00 par value per share</w:t>
      </w:r>
    </w:p>
    <w:p>
      <w:pPr>
        <w:pStyle w:val="Normal"/>
        <w:framePr w:w="614" w:hAnchor="page" w:vAnchor="page" w:x="6140" w:y="1173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FTI</w:t>
      </w:r>
    </w:p>
    <w:p>
      <w:pPr>
        <w:pStyle w:val="Normal"/>
        <w:framePr w:w="2844" w:hAnchor="page" w:vAnchor="page" w:x="9102" w:y="1173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New York Stock Exchange</w:t>
      </w:r>
    </w:p>
    <w:p>
      <w:pPr>
        <w:pStyle w:val="Normal"/>
        <w:framePr w:w="1662" w:hAnchor="page" w:vAnchor="page" w:x="1662" w:y="11533"/>
        <w:widowControl w:val="off"/>
        <w:autoSpaceDE w:val="off"/>
        <w:autoSpaceDN w:val="off"/>
        <w:spacing w:before="0" w:after="0" w:line="171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5"/>
          <w:szCs w:val="15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5"/>
          <w:szCs w:val="15"/>
        </w:rPr>
        <w:t>Title of Each Class</w:t>
      </w:r>
    </w:p>
    <w:p>
      <w:pPr>
        <w:pStyle w:val="Normal"/>
        <w:framePr w:w="776" w:hAnchor="page" w:vAnchor="page" w:x="6052" w:y="11533"/>
        <w:widowControl w:val="off"/>
        <w:autoSpaceDE w:val="off"/>
        <w:autoSpaceDN w:val="off"/>
        <w:spacing w:before="0" w:after="0" w:line="171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5"/>
          <w:szCs w:val="15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5"/>
          <w:szCs w:val="15"/>
        </w:rPr>
        <w:t>Symbol</w:t>
      </w:r>
    </w:p>
    <w:p>
      <w:pPr>
        <w:pStyle w:val="Normal"/>
        <w:framePr w:w="1831" w:hAnchor="page" w:vAnchor="page" w:x="9504" w:y="11533"/>
        <w:widowControl w:val="off"/>
        <w:autoSpaceDE w:val="off"/>
        <w:autoSpaceDN w:val="off"/>
        <w:spacing w:before="0" w:after="0" w:line="171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5"/>
          <w:szCs w:val="15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5"/>
          <w:szCs w:val="15"/>
        </w:rPr>
        <w:t>on Which Registered</w:t>
      </w:r>
    </w:p>
    <w:p>
      <w:pPr>
        <w:pStyle w:val="Normal"/>
        <w:framePr w:w="814" w:hAnchor="page" w:vAnchor="page" w:x="6037" w:y="11374"/>
        <w:widowControl w:val="off"/>
        <w:autoSpaceDE w:val="off"/>
        <w:autoSpaceDN w:val="off"/>
        <w:spacing w:before="0" w:after="0" w:line="171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5"/>
          <w:szCs w:val="15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5"/>
          <w:szCs w:val="15"/>
        </w:rPr>
        <w:t>Trading</w:t>
      </w:r>
    </w:p>
    <w:p>
      <w:pPr>
        <w:pStyle w:val="Normal"/>
        <w:framePr w:w="2107" w:hAnchor="page" w:vAnchor="page" w:x="9389" w:y="11374"/>
        <w:widowControl w:val="off"/>
        <w:autoSpaceDE w:val="off"/>
        <w:autoSpaceDN w:val="off"/>
        <w:spacing w:before="0" w:after="0" w:line="171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5"/>
          <w:szCs w:val="15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5"/>
          <w:szCs w:val="15"/>
        </w:rPr>
        <w:t>Name of Each Exchange</w:t>
      </w:r>
    </w:p>
    <w:p>
      <w:pPr>
        <w:pStyle w:val="Normal"/>
        <w:framePr w:w="5887" w:hAnchor="page" w:vAnchor="page" w:x="3820" w:y="1100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Securities registered pursuant to Section 12(b) of the Act:</w:t>
      </w:r>
    </w:p>
    <w:p>
      <w:pPr>
        <w:pStyle w:val="Normal"/>
        <w:framePr w:w="435" w:hAnchor="page" w:vAnchor="page" w:x="276" w:y="10624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DejaVuSans" w:hAnsi="DejaVuSans" w:fareast="DejaVuSans" w:cs="DejaVuSans"/>
          <w:color w:val="000000"/>
          <w:w w:val="100"/>
          <w:sz w:val="19"/>
          <w:szCs w:val="19"/>
        </w:rPr>
      </w:pPr>
      <w:r>
        <w:rPr>
          <w:rFonts w:ascii="DejaVuSans" w:hAnsi="DejaVuSans" w:fareast="DejaVuSans" w:cs="DejaVuSans"/>
          <w:color w:val="000000"/>
          <w:w w:val="100"/>
          <w:sz w:val="19"/>
          <w:szCs w:val="19"/>
        </w:rPr>
        <w:t>☐</w:t>
      </w:r>
    </w:p>
    <w:p>
      <w:pPr>
        <w:pStyle w:val="Normal"/>
        <w:framePr w:w="10566" w:hAnchor="page" w:vAnchor="page" w:x="739" w:y="1063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Pre-commencement communications pursuant to Rule 13e-4(c) under the Exchange Act (17 CFR 240.13e-4(c))</w:t>
      </w:r>
    </w:p>
    <w:p>
      <w:pPr>
        <w:pStyle w:val="Normal"/>
        <w:framePr w:w="435" w:hAnchor="page" w:vAnchor="page" w:x="276" w:y="10262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DejaVuSans" w:hAnsi="DejaVuSans" w:fareast="DejaVuSans" w:cs="DejaVuSans"/>
          <w:color w:val="000000"/>
          <w:w w:val="100"/>
          <w:sz w:val="19"/>
          <w:szCs w:val="19"/>
        </w:rPr>
      </w:pPr>
      <w:r>
        <w:rPr>
          <w:rFonts w:ascii="DejaVuSans" w:hAnsi="DejaVuSans" w:fareast="DejaVuSans" w:cs="DejaVuSans"/>
          <w:color w:val="000000"/>
          <w:w w:val="100"/>
          <w:sz w:val="19"/>
          <w:szCs w:val="19"/>
        </w:rPr>
        <w:t>☐</w:t>
      </w:r>
    </w:p>
    <w:p>
      <w:pPr>
        <w:pStyle w:val="Normal"/>
        <w:framePr w:w="10618" w:hAnchor="page" w:vAnchor="page" w:x="739" w:y="1026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Pre-commencement communications pursuant to Rule 14d-2(b) under the Exchange Act (17 CFR 240.14d-2(b))</w:t>
      </w:r>
    </w:p>
    <w:p>
      <w:pPr>
        <w:pStyle w:val="Normal"/>
        <w:framePr w:w="435" w:hAnchor="page" w:vAnchor="page" w:x="276" w:y="9900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DejaVuSans" w:hAnsi="DejaVuSans" w:fareast="DejaVuSans" w:cs="DejaVuSans"/>
          <w:color w:val="000000"/>
          <w:w w:val="100"/>
          <w:sz w:val="19"/>
          <w:szCs w:val="19"/>
        </w:rPr>
      </w:pPr>
      <w:r>
        <w:rPr>
          <w:rFonts w:ascii="DejaVuSans" w:hAnsi="DejaVuSans" w:fareast="DejaVuSans" w:cs="DejaVuSans"/>
          <w:color w:val="000000"/>
          <w:w w:val="100"/>
          <w:sz w:val="19"/>
          <w:szCs w:val="19"/>
        </w:rPr>
        <w:t>☐</w:t>
      </w:r>
    </w:p>
    <w:p>
      <w:pPr>
        <w:pStyle w:val="Normal"/>
        <w:framePr w:w="8562" w:hAnchor="page" w:vAnchor="page" w:x="739" w:y="990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Soliciting material pursuant to Rule 14a-12 under the Exchange Act (17 CFR 240.14a-12)</w:t>
      </w:r>
    </w:p>
    <w:p>
      <w:pPr>
        <w:pStyle w:val="Normal"/>
        <w:framePr w:w="435" w:hAnchor="page" w:vAnchor="page" w:x="276" w:y="9539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DejaVuSans" w:hAnsi="DejaVuSans" w:fareast="DejaVuSans" w:cs="DejaVuSans"/>
          <w:color w:val="000000"/>
          <w:w w:val="100"/>
          <w:sz w:val="19"/>
          <w:szCs w:val="19"/>
        </w:rPr>
      </w:pPr>
      <w:r>
        <w:rPr>
          <w:rFonts w:ascii="DejaVuSans" w:hAnsi="DejaVuSans" w:fareast="DejaVuSans" w:cs="DejaVuSans"/>
          <w:color w:val="000000"/>
          <w:w w:val="100"/>
          <w:sz w:val="19"/>
          <w:szCs w:val="19"/>
        </w:rPr>
        <w:t>☐</w:t>
      </w:r>
    </w:p>
    <w:p>
      <w:pPr>
        <w:pStyle w:val="Normal"/>
        <w:framePr w:w="8540" w:hAnchor="page" w:vAnchor="page" w:x="739" w:y="954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Written communications pursuant to Rule 425 under the Securities Act (17 CFR 230.425)</w:t>
      </w:r>
    </w:p>
    <w:p>
      <w:pPr>
        <w:pStyle w:val="Normal"/>
        <w:framePr w:w="2214" w:hAnchor="page" w:vAnchor="page" w:x="276" w:y="918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following provisions:</w:t>
      </w:r>
    </w:p>
    <w:p>
      <w:pPr>
        <w:pStyle w:val="Normal"/>
        <w:framePr w:w="13786" w:hAnchor="page" w:vAnchor="page" w:x="276" w:y="895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Check the appropriate box below if the Form 8-K filing is intended to simultaneously satisfy the filing obligation of the registrant under any of the</w:t>
      </w:r>
    </w:p>
    <w:p>
      <w:pPr>
        <w:pStyle w:val="Normal"/>
        <w:framePr w:w="5074" w:hAnchor="page" w:vAnchor="page" w:x="4139" w:y="8380"/>
        <w:widowControl w:val="off"/>
        <w:autoSpaceDE w:val="off"/>
        <w:autoSpaceDN w:val="off"/>
        <w:spacing w:before="0" w:after="0" w:line="171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5"/>
          <w:szCs w:val="15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5"/>
          <w:szCs w:val="15"/>
        </w:rPr>
        <w:t>(Former name or former address, if changed since last report)</w:t>
      </w:r>
    </w:p>
    <w:p>
      <w:pPr>
        <w:pStyle w:val="Normal"/>
        <w:framePr w:w="1713" w:hAnchor="page" w:vAnchor="page" w:x="5559" w:y="815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Not Applicable</w:t>
      </w:r>
    </w:p>
    <w:p>
      <w:pPr>
        <w:pStyle w:val="Normal"/>
        <w:framePr w:w="4356" w:hAnchor="page" w:vAnchor="page" w:x="4438" w:y="7844"/>
        <w:widowControl w:val="off"/>
        <w:autoSpaceDE w:val="off"/>
        <w:autoSpaceDN w:val="off"/>
        <w:spacing w:before="0" w:after="0" w:line="171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5"/>
          <w:szCs w:val="15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5"/>
          <w:szCs w:val="15"/>
        </w:rPr>
        <w:t>(Registrant’s telephone number, including area code)</w:t>
      </w:r>
    </w:p>
    <w:p>
      <w:pPr>
        <w:pStyle w:val="Normal"/>
        <w:framePr w:w="1960" w:hAnchor="page" w:vAnchor="page" w:x="5456" w:y="762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+44 191-295-0303</w:t>
      </w:r>
    </w:p>
    <w:p>
      <w:pPr>
        <w:pStyle w:val="Normal"/>
        <w:framePr w:w="3239" w:hAnchor="page" w:vAnchor="page" w:x="1981" w:y="7324"/>
        <w:widowControl w:val="off"/>
        <w:autoSpaceDE w:val="off"/>
        <w:autoSpaceDN w:val="off"/>
        <w:spacing w:before="0" w:after="0" w:line="171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5"/>
          <w:szCs w:val="15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5"/>
          <w:szCs w:val="15"/>
        </w:rPr>
        <w:t>(Address of principal executive offices)</w:t>
      </w:r>
    </w:p>
    <w:p>
      <w:pPr>
        <w:pStyle w:val="Normal"/>
        <w:framePr w:w="1038" w:hAnchor="page" w:vAnchor="page" w:x="8858" w:y="7324"/>
        <w:widowControl w:val="off"/>
        <w:autoSpaceDE w:val="off"/>
        <w:autoSpaceDN w:val="off"/>
        <w:spacing w:before="0" w:after="0" w:line="171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5"/>
          <w:szCs w:val="15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5"/>
          <w:szCs w:val="15"/>
        </w:rPr>
        <w:t>(Zip Code)</w:t>
      </w:r>
    </w:p>
    <w:p>
      <w:pPr>
        <w:pStyle w:val="Normal"/>
        <w:framePr w:w="1880" w:hAnchor="page" w:vAnchor="page" w:x="2567" w:y="708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United Kingdom</w:t>
      </w:r>
    </w:p>
    <w:p>
      <w:pPr>
        <w:pStyle w:val="Normal"/>
        <w:framePr w:w="1134" w:hAnchor="page" w:vAnchor="page" w:x="8838" w:y="710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NE6 3PL</w:t>
      </w:r>
    </w:p>
    <w:p>
      <w:pPr>
        <w:pStyle w:val="Normal"/>
        <w:framePr w:w="2357" w:hAnchor="page" w:vAnchor="page" w:x="2369" w:y="685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Newcastle Upon Tyne</w:t>
      </w:r>
    </w:p>
    <w:p>
      <w:pPr>
        <w:pStyle w:val="Normal"/>
        <w:framePr w:w="2043" w:hAnchor="page" w:vAnchor="page" w:x="2500" w:y="662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Wincomblee Road</w:t>
      </w:r>
    </w:p>
    <w:p>
      <w:pPr>
        <w:pStyle w:val="Normal"/>
        <w:framePr w:w="1796" w:hAnchor="page" w:vAnchor="page" w:x="2602" w:y="639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Hadrian House,</w:t>
      </w:r>
    </w:p>
    <w:p>
      <w:pPr>
        <w:pStyle w:val="Normal"/>
        <w:framePr w:w="1531" w:hAnchor="page" w:vAnchor="page" w:x="1716" w:y="6065"/>
        <w:widowControl w:val="off"/>
        <w:autoSpaceDE w:val="off"/>
        <w:autoSpaceDN w:val="off"/>
        <w:spacing w:before="0" w:after="0" w:line="171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5"/>
          <w:szCs w:val="15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5"/>
          <w:szCs w:val="15"/>
        </w:rPr>
        <w:t>of incorporation)</w:t>
      </w:r>
    </w:p>
    <w:p>
      <w:pPr>
        <w:pStyle w:val="Normal"/>
        <w:framePr w:w="1243" w:hAnchor="page" w:vAnchor="page" w:x="5858" w:y="6065"/>
        <w:widowControl w:val="off"/>
        <w:autoSpaceDE w:val="off"/>
        <w:autoSpaceDN w:val="off"/>
        <w:spacing w:before="0" w:after="0" w:line="171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5"/>
          <w:szCs w:val="15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5"/>
          <w:szCs w:val="15"/>
        </w:rPr>
        <w:t>File Number)</w:t>
      </w:r>
    </w:p>
    <w:p>
      <w:pPr>
        <w:pStyle w:val="Normal"/>
        <w:framePr w:w="1629" w:hAnchor="page" w:vAnchor="page" w:x="9588" w:y="6065"/>
        <w:widowControl w:val="off"/>
        <w:autoSpaceDE w:val="off"/>
        <w:autoSpaceDN w:val="off"/>
        <w:spacing w:before="0" w:after="0" w:line="171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5"/>
          <w:szCs w:val="15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5"/>
          <w:szCs w:val="15"/>
        </w:rPr>
        <w:t>Identification No.)</w:t>
      </w:r>
    </w:p>
    <w:p>
      <w:pPr>
        <w:pStyle w:val="Normal"/>
        <w:framePr w:w="2292" w:hAnchor="page" w:vAnchor="page" w:x="1400" w:y="5906"/>
        <w:widowControl w:val="off"/>
        <w:autoSpaceDE w:val="off"/>
        <w:autoSpaceDN w:val="off"/>
        <w:spacing w:before="0" w:after="0" w:line="171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5"/>
          <w:szCs w:val="15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5"/>
          <w:szCs w:val="15"/>
        </w:rPr>
        <w:t>(State or other jurisdiction</w:t>
      </w:r>
    </w:p>
    <w:p>
      <w:pPr>
        <w:pStyle w:val="Normal"/>
        <w:framePr w:w="1218" w:hAnchor="page" w:vAnchor="page" w:x="5868" w:y="5906"/>
        <w:widowControl w:val="off"/>
        <w:autoSpaceDE w:val="off"/>
        <w:autoSpaceDN w:val="off"/>
        <w:spacing w:before="0" w:after="0" w:line="171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5"/>
          <w:szCs w:val="15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5"/>
          <w:szCs w:val="15"/>
        </w:rPr>
        <w:t>(Commission</w:t>
      </w:r>
    </w:p>
    <w:p>
      <w:pPr>
        <w:pStyle w:val="Normal"/>
        <w:framePr w:w="1516" w:hAnchor="page" w:vAnchor="page" w:x="9635" w:y="5906"/>
        <w:widowControl w:val="off"/>
        <w:autoSpaceDE w:val="off"/>
        <w:autoSpaceDN w:val="off"/>
        <w:spacing w:before="0" w:after="0" w:line="171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5"/>
          <w:szCs w:val="15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5"/>
          <w:szCs w:val="15"/>
        </w:rPr>
        <w:t>(I.R.S. Employer</w:t>
      </w:r>
    </w:p>
    <w:p>
      <w:pPr>
        <w:pStyle w:val="Normal"/>
        <w:framePr w:w="1880" w:hAnchor="page" w:vAnchor="page" w:x="1591" w:y="568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United Kingdom</w:t>
      </w:r>
    </w:p>
    <w:p>
      <w:pPr>
        <w:pStyle w:val="Normal"/>
        <w:framePr w:w="1231" w:hAnchor="page" w:vAnchor="page" w:x="5883" w:y="568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001-37983</w:t>
      </w:r>
    </w:p>
    <w:p>
      <w:pPr>
        <w:pStyle w:val="Normal"/>
        <w:framePr w:w="1346" w:hAnchor="page" w:vAnchor="page" w:x="9726" w:y="568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98-1283037</w:t>
      </w:r>
    </w:p>
    <w:p>
      <w:pPr>
        <w:pStyle w:val="Normal"/>
        <w:framePr w:w="5338" w:hAnchor="page" w:vAnchor="page" w:x="4049" w:y="498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(Exact name of registrant as specified in its charter)</w:t>
      </w:r>
    </w:p>
    <w:p>
      <w:pPr>
        <w:pStyle w:val="Normal"/>
        <w:framePr w:w="4179" w:hAnchor="page" w:vAnchor="page" w:x="4508" w:y="4459"/>
        <w:widowControl w:val="off"/>
        <w:autoSpaceDE w:val="off"/>
        <w:autoSpaceDN w:val="off"/>
        <w:spacing w:before="0" w:after="0" w:line="513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46"/>
          <w:szCs w:val="46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46"/>
          <w:szCs w:val="46"/>
        </w:rPr>
        <w:t>TechnipFMC plc</w:t>
      </w:r>
    </w:p>
    <w:p>
      <w:pPr>
        <w:pStyle w:val="Normal"/>
        <w:framePr w:w="5388" w:hAnchor="page" w:vAnchor="page" w:x="3844" w:y="3769"/>
        <w:widowControl w:val="off"/>
        <w:autoSpaceDE w:val="off"/>
        <w:autoSpaceDN w:val="off"/>
        <w:spacing w:before="0" w:after="0" w:line="25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3"/>
          <w:szCs w:val="23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3"/>
          <w:szCs w:val="23"/>
        </w:rPr>
        <w:t>Date of Report (Date of earliest event reported)</w:t>
      </w:r>
    </w:p>
    <w:p>
      <w:pPr>
        <w:pStyle w:val="Normal"/>
        <w:framePr w:w="1575" w:hAnchor="page" w:vAnchor="page" w:x="5577" w:y="3508"/>
        <w:widowControl w:val="off"/>
        <w:autoSpaceDE w:val="off"/>
        <w:autoSpaceDN w:val="off"/>
        <w:spacing w:before="0" w:after="0" w:line="25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3"/>
          <w:szCs w:val="23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3"/>
          <w:szCs w:val="23"/>
        </w:rPr>
        <w:t>May 4, 2022</w:t>
      </w:r>
    </w:p>
    <w:p>
      <w:pPr>
        <w:pStyle w:val="Normal"/>
        <w:framePr w:w="4496" w:hAnchor="page" w:vAnchor="page" w:x="4249" w:y="3118"/>
        <w:widowControl w:val="off"/>
        <w:autoSpaceDE w:val="off"/>
        <w:autoSpaceDN w:val="off"/>
        <w:spacing w:before="0" w:after="0" w:line="25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3"/>
          <w:szCs w:val="23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3"/>
          <w:szCs w:val="23"/>
        </w:rPr>
        <w:t>of The Securities Exchange Act of 1934</w:t>
      </w:r>
    </w:p>
    <w:p>
      <w:pPr>
        <w:pStyle w:val="Normal"/>
        <w:framePr w:w="3782" w:hAnchor="page" w:vAnchor="page" w:x="4574" w:y="2857"/>
        <w:widowControl w:val="off"/>
        <w:autoSpaceDE w:val="off"/>
        <w:autoSpaceDN w:val="off"/>
        <w:spacing w:before="0" w:after="0" w:line="25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3"/>
          <w:szCs w:val="23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3"/>
          <w:szCs w:val="23"/>
        </w:rPr>
        <w:t>Pursuant to Section 13 OR 15(d)</w:t>
      </w:r>
    </w:p>
    <w:p>
      <w:pPr>
        <w:pStyle w:val="Normal"/>
        <w:framePr w:w="2628" w:hAnchor="page" w:vAnchor="page" w:x="5099" w:y="2597"/>
        <w:widowControl w:val="off"/>
        <w:autoSpaceDE w:val="off"/>
        <w:autoSpaceDN w:val="off"/>
        <w:spacing w:before="0" w:after="0" w:line="25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3"/>
          <w:szCs w:val="23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3"/>
          <w:szCs w:val="23"/>
        </w:rPr>
        <w:t>CURRENT REPORT</w:t>
      </w:r>
    </w:p>
    <w:p>
      <w:pPr>
        <w:pStyle w:val="Normal"/>
        <w:framePr w:w="2262" w:hAnchor="page" w:vAnchor="page" w:x="5325" w:y="1785"/>
        <w:widowControl w:val="off"/>
        <w:autoSpaceDE w:val="off"/>
        <w:autoSpaceDN w:val="off"/>
        <w:spacing w:before="0" w:after="0" w:line="384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35"/>
          <w:szCs w:val="35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35"/>
          <w:szCs w:val="35"/>
        </w:rPr>
        <w:t>FORM 8-K</w:t>
      </w:r>
    </w:p>
    <w:p>
      <w:pPr>
        <w:pStyle w:val="Normal"/>
        <w:framePr w:w="2877" w:hAnchor="page" w:vAnchor="page" w:x="4985" w:y="1121"/>
        <w:widowControl w:val="off"/>
        <w:autoSpaceDE w:val="off"/>
        <w:autoSpaceDN w:val="off"/>
        <w:spacing w:before="0" w:after="0" w:line="25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3"/>
          <w:szCs w:val="23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3"/>
          <w:szCs w:val="23"/>
        </w:rPr>
        <w:t>Washington, D.C. 20549</w:t>
      </w:r>
    </w:p>
    <w:p>
      <w:pPr>
        <w:pStyle w:val="Normal"/>
        <w:framePr w:w="8608" w:hAnchor="page" w:vAnchor="page" w:x="2440" w:y="729"/>
        <w:widowControl w:val="off"/>
        <w:autoSpaceDE w:val="off"/>
        <w:autoSpaceDN w:val="off"/>
        <w:spacing w:before="0" w:after="0" w:line="384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35"/>
          <w:szCs w:val="35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35"/>
          <w:szCs w:val="35"/>
        </w:rPr>
        <w:t>SECURITIES AND EXCHANGE COMMISSION</w:t>
      </w:r>
    </w:p>
    <w:p>
      <w:pPr>
        <w:pStyle w:val="Normal"/>
        <w:framePr w:w="3374" w:hAnchor="page" w:vAnchor="page" w:x="4819" w:y="338"/>
        <w:widowControl w:val="off"/>
        <w:autoSpaceDE w:val="off"/>
        <w:autoSpaceDN w:val="off"/>
        <w:spacing w:before="0" w:after="0" w:line="384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35"/>
          <w:szCs w:val="35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35"/>
          <w:szCs w:val="35"/>
        </w:rPr>
        <w:t>UNITED STATES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1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0" style="position:absolute;margin-left:7pt;margin-top:1pt;z-index:-16777212;width:598pt;height:1005.9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" style="position:absolute;margin-left:12.8pt;margin-top:7.5pt;z-index:-16777208;width:592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" style="position:absolute;margin-left:12.8pt;margin-top:11.15pt;z-index:-16777204;width:592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" style="position:absolute;margin-left:245.7pt;margin-top:81.3pt;z-index:-16777200;width:126.4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" style="position:absolute;margin-left:245.7pt;margin-top:121.8pt;z-index:-16777196;width:126.4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" style="position:absolute;margin-left:245.7pt;margin-top:214.35pt;z-index:-16777192;width:126.4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" style="position:absolute;margin-left:245.7pt;margin-top:272.95pt;z-index:-16777188;width:126.4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" style="position:absolute;margin-left:245.7pt;margin-top:439.3pt;z-index:-16777184;width:126.4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" style="position:absolute;margin-left:414.2pt;margin-top:584.7pt;z-index:-16777180;width:190.8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" style="position:absolute;margin-left:219.65pt;margin-top:584.7pt;z-index:-16777176;width:190.8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" style="position:absolute;margin-left:12.8pt;margin-top:584.7pt;z-index:-16777172;width:202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" style="position:absolute;margin-left:12.8pt;margin-top:700.45pt;z-index:-16777168;width:592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" style="position:absolute;margin-left:12.8pt;margin-top:704.05pt;z-index:-16777164;width:592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" o:title=""/>
          </v:shape>
        </w:pict>
      </w:r>
    </w:p>
    <w:p>
      <w:pPr>
        <w:pStyle w:val="Normal"/>
        <w:framePr w:w="575" w:hAnchor="page" w:vAnchor="page" w:x="276" w:y="536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104</w:t>
      </w:r>
    </w:p>
    <w:p>
      <w:pPr>
        <w:pStyle w:val="Normal"/>
        <w:framePr w:w="344" w:hAnchor="page" w:vAnchor="page" w:x="782" w:y="536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7655" w:hAnchor="page" w:vAnchor="page" w:x="1346" w:y="536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Cover Page Interactive Data File (embedded within the Inline XBRL document)</w:t>
      </w:r>
    </w:p>
    <w:p>
      <w:pPr>
        <w:pStyle w:val="Normal"/>
        <w:framePr w:w="344" w:hAnchor="page" w:vAnchor="page" w:x="782" w:y="501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5465" w:hAnchor="page" w:vAnchor="page" w:x="1346" w:y="501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ed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ed"/>
          <w:w w:val="100"/>
          <w:sz w:val="19"/>
          <w:szCs w:val="19"/>
        </w:rPr>
        <w:t>in interest to U.S. Bank National Association), as trustee</w:t>
      </w:r>
    </w:p>
    <w:p>
      <w:pPr>
        <w:pStyle w:val="Normal"/>
        <w:framePr w:w="575" w:hAnchor="page" w:vAnchor="page" w:x="276" w:y="478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4.1</w:t>
      </w:r>
    </w:p>
    <w:p>
      <w:pPr>
        <w:pStyle w:val="Normal"/>
        <w:framePr w:w="12992" w:hAnchor="page" w:vAnchor="page" w:x="1346" w:y="478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ed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ed"/>
          <w:w w:val="100"/>
          <w:sz w:val="19"/>
          <w:szCs w:val="19"/>
        </w:rPr>
        <w:t>Supplemental Indenture, dated May 4, 2022, by and among the Company and U.S. Bank Trust Company, National Association (successor</w:t>
      </w:r>
    </w:p>
    <w:p>
      <w:pPr>
        <w:pStyle w:val="Normal"/>
        <w:framePr w:w="879" w:hAnchor="page" w:vAnchor="page" w:x="276" w:y="4503"/>
        <w:widowControl w:val="off"/>
        <w:autoSpaceDE w:val="off"/>
        <w:autoSpaceDN w:val="off"/>
        <w:spacing w:before="0" w:after="0" w:line="171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5"/>
          <w:szCs w:val="15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5"/>
          <w:szCs w:val="15"/>
        </w:rPr>
        <w:t xml:space="preserve">Number  </w:t>
      </w:r>
    </w:p>
    <w:p>
      <w:pPr>
        <w:pStyle w:val="Normal"/>
        <w:framePr w:w="1634" w:hAnchor="page" w:vAnchor="page" w:x="6107" w:y="4503"/>
        <w:widowControl w:val="off"/>
        <w:autoSpaceDE w:val="off"/>
        <w:autoSpaceDN w:val="off"/>
        <w:spacing w:before="0" w:after="0" w:line="171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5"/>
          <w:szCs w:val="15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5"/>
          <w:szCs w:val="15"/>
        </w:rPr>
        <w:t>Exhibit Description</w:t>
      </w:r>
    </w:p>
    <w:p>
      <w:pPr>
        <w:pStyle w:val="Normal"/>
        <w:framePr w:w="725" w:hAnchor="page" w:vAnchor="page" w:x="302" w:y="4344"/>
        <w:widowControl w:val="off"/>
        <w:autoSpaceDE w:val="off"/>
        <w:autoSpaceDN w:val="off"/>
        <w:spacing w:before="0" w:after="0" w:line="171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5"/>
          <w:szCs w:val="15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5"/>
          <w:szCs w:val="15"/>
        </w:rPr>
        <w:t>Exhibit</w:t>
      </w:r>
    </w:p>
    <w:p>
      <w:pPr>
        <w:pStyle w:val="Normal"/>
        <w:framePr w:w="1327" w:hAnchor="page" w:vAnchor="page" w:x="276" w:y="386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(d) Exhibits</w:t>
      </w:r>
    </w:p>
    <w:p>
      <w:pPr>
        <w:pStyle w:val="Normal"/>
        <w:framePr w:w="1115" w:hAnchor="page" w:vAnchor="page" w:x="276" w:y="351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Item 9.01</w:t>
      </w:r>
    </w:p>
    <w:p>
      <w:pPr>
        <w:pStyle w:val="Normal"/>
        <w:framePr w:w="3383" w:hAnchor="page" w:vAnchor="page" w:x="1563" w:y="351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Financial Statements and Exhibits</w:t>
      </w:r>
    </w:p>
    <w:p>
      <w:pPr>
        <w:pStyle w:val="Normal"/>
        <w:framePr w:w="13438" w:hAnchor="page" w:vAnchor="page" w:x="276" w:y="289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indenture, which is attached to this current report on Form 8-K as Exhibit 4.1, and is incorporated by reference as though fully set forth herein.</w:t>
      </w:r>
    </w:p>
    <w:p>
      <w:pPr>
        <w:pStyle w:val="Normal"/>
        <w:framePr w:w="13727" w:hAnchor="page" w:vAnchor="page" w:x="276" w:y="266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The foregoing description of the Second Supplemental Indenture is qualified in its entirety by reference to the complete text of such supplemental</w:t>
      </w:r>
    </w:p>
    <w:p>
      <w:pPr>
        <w:pStyle w:val="Normal"/>
        <w:framePr w:w="2515" w:hAnchor="page" w:vAnchor="page" w:x="276" w:y="219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certain events of default.</w:t>
      </w:r>
    </w:p>
    <w:p>
      <w:pPr>
        <w:pStyle w:val="Normal"/>
        <w:framePr w:w="14357" w:hAnchor="page" w:vAnchor="page" w:x="276" w:y="196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The Second Supplemental Indenture, among other things, removes substantially all of the restrictive covenants contained in the Indenture and eliminates</w:t>
      </w:r>
    </w:p>
    <w:p>
      <w:pPr>
        <w:pStyle w:val="Normal"/>
        <w:framePr w:w="3698" w:hAnchor="page" w:vAnchor="page" w:x="276" w:y="150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principal amount remain outstanding.</w:t>
      </w:r>
    </w:p>
    <w:p>
      <w:pPr>
        <w:pStyle w:val="Normal"/>
        <w:framePr w:w="13664" w:hAnchor="page" w:vAnchor="page" w:x="276" w:y="127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National Association), as trustee governing the Company’s 6.500% Senior Notes due 2026 (the “2026 Notes”), of which $202,892,000 aggregate</w:t>
      </w:r>
    </w:p>
    <w:p>
      <w:pPr>
        <w:pStyle w:val="Normal"/>
        <w:framePr w:w="14036" w:hAnchor="page" w:vAnchor="page" w:x="276" w:y="104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2021) (collectively, the “Indenture”), between the Company and U.S. Bank Trust Company, National Association (successor in interest to U.S. Bank,</w:t>
      </w:r>
    </w:p>
    <w:p>
      <w:pPr>
        <w:pStyle w:val="Normal"/>
        <w:framePr w:w="14388" w:hAnchor="page" w:vAnchor="page" w:x="276" w:y="80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Supplemental Indenture”) to the certain indenture, dated as of January 29, 2021 (as amended by the first supplemental indenture dated as of February 16,</w:t>
      </w:r>
    </w:p>
    <w:p>
      <w:pPr>
        <w:pStyle w:val="Normal"/>
        <w:framePr w:w="14013" w:hAnchor="page" w:vAnchor="page" w:x="276" w:y="57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On May 4, 2022, TechnipFMC plc (the “Company”), following a solicitation of consents, entered into a second supplemental indenture (the “Second</w:t>
      </w:r>
    </w:p>
    <w:p>
      <w:pPr>
        <w:pStyle w:val="Normal"/>
        <w:framePr w:w="1115" w:hAnchor="page" w:vAnchor="page" w:x="276" w:y="23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Item 1.01</w:t>
      </w:r>
    </w:p>
    <w:p>
      <w:pPr>
        <w:pStyle w:val="Normal"/>
        <w:framePr w:w="4256" w:hAnchor="page" w:vAnchor="page" w:x="1563" w:y="23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Entry Into a Material Definitive Agreement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2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" style="position:absolute;margin-left:7pt;margin-top:1pt;z-index:-16777160;width:598pt;height:1005.9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" style="position:absolute;margin-left:12.8pt;margin-top:1pt;z-index:-16777156;width:58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" style="position:absolute;margin-left:12.8pt;margin-top:3.9pt;z-index:-16777152;width:58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" style="position:absolute;margin-left:597.95pt;margin-top:1pt;z-index:-16777148;width:2.7pt;height:5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" style="position:absolute;margin-left:12.8pt;margin-top:1pt;z-index:-16777144;width:2.7pt;height:5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" style="position:absolute;margin-left:66.3pt;margin-top:247.65pt;z-index:-16777140;width:533.8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" style="position:absolute;margin-left:66.3pt;margin-top:259.2pt;z-index:-16777136;width:220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" o:title=""/>
          </v:shape>
        </w:pict>
      </w:r>
    </w:p>
    <w:p>
      <w:pPr>
        <w:pStyle w:val="Normal"/>
        <w:framePr w:w="3371" w:hAnchor="page" w:vAnchor="page" w:x="6887" w:y="260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Chief Legal Officer and Secretary</w:t>
      </w:r>
    </w:p>
    <w:p>
      <w:pPr>
        <w:pStyle w:val="Normal"/>
        <w:framePr w:w="721" w:hAnchor="page" w:vAnchor="page" w:x="6192" w:y="237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Title:</w:t>
      </w:r>
    </w:p>
    <w:p>
      <w:pPr>
        <w:pStyle w:val="Normal"/>
        <w:framePr w:w="2553" w:hAnchor="page" w:vAnchor="page" w:x="6887" w:y="237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Executive Vice President</w:t>
      </w:r>
    </w:p>
    <w:p>
      <w:pPr>
        <w:pStyle w:val="Normal"/>
        <w:framePr w:w="2079" w:hAnchor="page" w:vAnchor="page" w:x="276" w:y="213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Dated: May 4, 2022</w:t>
      </w:r>
    </w:p>
    <w:p>
      <w:pPr>
        <w:pStyle w:val="Normal"/>
        <w:framePr w:w="2390" w:hAnchor="page" w:vAnchor="page" w:x="6192" w:y="213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Name:    Victoria Lazar</w:t>
      </w:r>
    </w:p>
    <w:p>
      <w:pPr>
        <w:pStyle w:val="Normal"/>
        <w:framePr w:w="562" w:hAnchor="page" w:vAnchor="page" w:x="6192" w:y="190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By:</w:t>
      </w:r>
    </w:p>
    <w:p>
      <w:pPr>
        <w:pStyle w:val="Normal"/>
        <w:framePr w:w="1833" w:hAnchor="page" w:vAnchor="page" w:x="6887" w:y="187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/s/ Victoria Lazar</w:t>
      </w:r>
    </w:p>
    <w:p>
      <w:pPr>
        <w:pStyle w:val="Normal"/>
        <w:framePr w:w="1897" w:hAnchor="page" w:vAnchor="page" w:x="6192" w:y="141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TechnipFMC plc</w:t>
      </w:r>
    </w:p>
    <w:p>
      <w:pPr>
        <w:pStyle w:val="Normal"/>
        <w:framePr w:w="3787" w:hAnchor="page" w:vAnchor="page" w:x="276" w:y="92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undersigned hereunto duly authorized.</w:t>
      </w:r>
    </w:p>
    <w:p>
      <w:pPr>
        <w:pStyle w:val="Normal"/>
        <w:framePr w:w="13438" w:hAnchor="page" w:vAnchor="page" w:x="276" w:y="69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Pursuant to the requirements of the Securities Exchange Act of 1934, the registrant has duly caused this report to be signed on its behalf by the</w:t>
      </w:r>
    </w:p>
    <w:p>
      <w:pPr>
        <w:pStyle w:val="Normal"/>
        <w:framePr w:w="1715" w:hAnchor="page" w:vAnchor="page" w:x="5558" w:y="23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SIGNATURES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3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" style="position:absolute;margin-left:7pt;margin-top:1pt;z-index:-16777132;width:598pt;height:1005.9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" style="position:absolute;margin-left:12.8pt;margin-top:1pt;z-index:-16777128;width:58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" style="position:absolute;margin-left:12.8pt;margin-top:3.9pt;z-index:-16777124;width:58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" style="position:absolute;margin-left:597.95pt;margin-top:1pt;z-index:-16777120;width:2.7pt;height:5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" style="position:absolute;margin-left:12.8pt;margin-top:1pt;z-index:-16777116;width:2.7pt;height:5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" style="position:absolute;margin-left:343.35pt;margin-top:104.45pt;z-index:-16777112;width:2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" o:title=""/>
          </v:shape>
        </w:pict>
      </w:r>
    </w:p>
    <w:p>
      <w:pPr>
        <w:pStyle w:val="Normal"/>
        <w:framePr w:w="344" w:hAnchor="page" w:vAnchor="page" w:x="6130" w:y="1038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1</w:t>
      </w:r>
    </w:p>
    <w:p>
      <w:pPr>
        <w:pStyle w:val="Normal"/>
        <w:framePr w:w="2875" w:hAnchor="page" w:vAnchor="page" w:x="276" w:y="999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as defined in the Statement):</w:t>
      </w:r>
    </w:p>
    <w:p>
      <w:pPr>
        <w:pStyle w:val="Normal"/>
        <w:framePr w:w="14235" w:hAnchor="page" w:vAnchor="page" w:x="276" w:y="976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>Date</w:t>
      </w: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”) of an amount of money sufficient to pay for all Notes validly tendered and accepted pursuant to the Tender Offer and Consent Solicitation (each</w:t>
      </w:r>
    </w:p>
    <w:p>
      <w:pPr>
        <w:pStyle w:val="Normal"/>
        <w:framePr w:w="13449" w:hAnchor="page" w:vAnchor="page" w:x="748" w:y="953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Section 2.01    Amendments to the Indenture. Effective at the time of payment or deposit with The Depository Trust Company (the “</w:t>
      </w: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>Payment</w:t>
      </w:r>
    </w:p>
    <w:p>
      <w:pPr>
        <w:pStyle w:val="Normal"/>
        <w:framePr w:w="3506" w:hAnchor="page" w:vAnchor="page" w:x="4812" w:y="906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AMENDMENTS AND WAIVERS</w:t>
      </w:r>
    </w:p>
    <w:p>
      <w:pPr>
        <w:pStyle w:val="Normal"/>
        <w:framePr w:w="1461" w:hAnchor="page" w:vAnchor="page" w:x="5664" w:y="883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ARTICLE II.</w:t>
      </w:r>
    </w:p>
    <w:p>
      <w:pPr>
        <w:pStyle w:val="Normal"/>
        <w:framePr w:w="1172" w:hAnchor="page" w:vAnchor="page" w:x="276" w:y="837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Indenture.</w:t>
      </w:r>
    </w:p>
    <w:p>
      <w:pPr>
        <w:pStyle w:val="Normal"/>
        <w:framePr w:w="13155" w:hAnchor="page" w:vAnchor="page" w:x="748" w:y="814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Section 1.01    Amendments to the Indenture. Capitalized terms used herein but not defined shall have the meanings assigned to them in the</w:t>
      </w:r>
    </w:p>
    <w:p>
      <w:pPr>
        <w:pStyle w:val="Normal"/>
        <w:framePr w:w="2542" w:hAnchor="page" w:vAnchor="page" w:x="5214" w:y="768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CAPITALIZED TERMS</w:t>
      </w:r>
    </w:p>
    <w:p>
      <w:pPr>
        <w:pStyle w:val="Normal"/>
        <w:framePr w:w="1384" w:hAnchor="page" w:vAnchor="page" w:x="5696" w:y="744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ARTICLE I.</w:t>
      </w:r>
    </w:p>
    <w:p>
      <w:pPr>
        <w:pStyle w:val="Normal"/>
        <w:framePr w:w="12914" w:hAnchor="page" w:vAnchor="page" w:x="276" w:y="698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hereby acknowledged, the Issuer and the Trustee mutually covenant and agree for the equal and ratable benefit of the Holders as follows:</w:t>
      </w:r>
    </w:p>
    <w:p>
      <w:pPr>
        <w:pStyle w:val="Normal"/>
        <w:framePr w:w="13316" w:hAnchor="page" w:vAnchor="page" w:x="748" w:y="675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NOW, THEREFORE, in consideration of the foregoing and for other good and valuable consideration, the receipt and sufficiency of which is</w:t>
      </w:r>
    </w:p>
    <w:p>
      <w:pPr>
        <w:pStyle w:val="Normal"/>
        <w:framePr w:w="13797" w:hAnchor="page" w:vAnchor="page" w:x="748" w:y="629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WHEREAS, the Board of Directors of the Issuer have authorized and approved the execution and delivery of this Second Supplemental Indenture.</w:t>
      </w:r>
    </w:p>
    <w:p>
      <w:pPr>
        <w:pStyle w:val="Normal"/>
        <w:framePr w:w="6158" w:hAnchor="page" w:vAnchor="page" w:x="276" w:y="582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Amendments (as defined in the Statement) to the Indenture; and</w:t>
      </w:r>
    </w:p>
    <w:p>
      <w:pPr>
        <w:pStyle w:val="Normal"/>
        <w:framePr w:w="14016" w:hAnchor="page" w:vAnchor="page" w:x="276" w:y="559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the receipt of consents from Holders representing more than a majority in aggregate principal amount of the Notes outstanding to adopt the Proposed</w:t>
      </w:r>
    </w:p>
    <w:p>
      <w:pPr>
        <w:pStyle w:val="Normal"/>
        <w:framePr w:w="14138" w:hAnchor="page" w:vAnchor="page" w:x="276" w:y="536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Indenture in connection with the Offer to Purchase and Consent Solicitation Statement of the Issuer, dated as of April 20, 2022, (the “</w:t>
      </w: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>Statement</w:t>
      </w: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”), and</w:t>
      </w:r>
    </w:p>
    <w:p>
      <w:pPr>
        <w:pStyle w:val="Normal"/>
        <w:framePr w:w="13354" w:hAnchor="page" w:vAnchor="page" w:x="748" w:y="513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WHEREAS</w:t>
      </w: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 xml:space="preserve">, </w:t>
      </w: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the Issuer is undertaking to execute and deliver this Second Supplemental Indenture to amend certain terms and covenants in the</w:t>
      </w:r>
    </w:p>
    <w:p>
      <w:pPr>
        <w:pStyle w:val="Normal"/>
        <w:framePr w:w="12892" w:hAnchor="page" w:vAnchor="page" w:x="276" w:y="467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Indenture or the Notes with the consent of the Holders of at least a majority in aggregate principal amount of the Notes then outstanding;</w:t>
      </w:r>
    </w:p>
    <w:p>
      <w:pPr>
        <w:pStyle w:val="Normal"/>
        <w:framePr w:w="13446" w:hAnchor="page" w:vAnchor="page" w:x="748" w:y="443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WHEREAS</w:t>
      </w: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 xml:space="preserve">, </w:t>
      </w: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Section 9.2 of the Indenture provides that, subject to certain conditions, the Issuer, the Guarantors and the Trustee may amend the</w:t>
      </w:r>
    </w:p>
    <w:p>
      <w:pPr>
        <w:pStyle w:val="Normal"/>
        <w:framePr w:w="5001" w:hAnchor="page" w:vAnchor="page" w:x="276" w:y="397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the new guarantees of the Guarantors listed therein;</w:t>
      </w:r>
    </w:p>
    <w:p>
      <w:pPr>
        <w:pStyle w:val="Normal"/>
        <w:framePr w:w="14297" w:hAnchor="page" w:vAnchor="page" w:x="276" w:y="374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Indenture, dated as of February 16, 2021 (as amended, supplemented, waived or otherwise modified, the “</w:t>
      </w: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>First Supplemental Indenture</w:t>
      </w: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”), providing for</w:t>
      </w:r>
    </w:p>
    <w:p>
      <w:pPr>
        <w:pStyle w:val="Normal"/>
        <w:framePr w:w="13271" w:hAnchor="page" w:vAnchor="page" w:x="748" w:y="351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WHEREAS, the Issuer, the New Guarantors (as defined therein) and the Trustee have heretofore executed and delivered a first Supplemental</w:t>
      </w:r>
    </w:p>
    <w:p>
      <w:pPr>
        <w:pStyle w:val="Normal"/>
        <w:framePr w:w="7296" w:hAnchor="page" w:vAnchor="page" w:x="276" w:y="305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principal amount 6.500% Senior Notes due 2026 of the Issuer (the “</w:t>
      </w: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>Notes</w:t>
      </w: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”);</w:t>
      </w:r>
    </w:p>
    <w:p>
      <w:pPr>
        <w:pStyle w:val="Normal"/>
        <w:framePr w:w="13904" w:hAnchor="page" w:vAnchor="page" w:x="276" w:y="281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January 29, 2021 (as amended, supplemented, waived or otherwise modified, the “</w:t>
      </w: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>Indenture</w:t>
      </w: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”), providing for the issuance of an unlimited aggregate</w:t>
      </w:r>
    </w:p>
    <w:p>
      <w:pPr>
        <w:pStyle w:val="Normal"/>
        <w:framePr w:w="13791" w:hAnchor="page" w:vAnchor="page" w:x="748" w:y="258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WHEREAS, the Issuer, the initial Guarantors (as defined therein) and the Trustee have heretofore executed and delivered an Indenture, dated as of</w:t>
      </w:r>
    </w:p>
    <w:p>
      <w:pPr>
        <w:pStyle w:val="Normal"/>
        <w:framePr w:w="2369" w:hAnchor="page" w:vAnchor="page" w:x="5286" w:y="224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W I T N E S S E T H:</w:t>
      </w:r>
    </w:p>
    <w:p>
      <w:pPr>
        <w:pStyle w:val="Normal"/>
        <w:framePr w:w="11921" w:hAnchor="page" w:vAnchor="page" w:x="276" w:y="154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U.S. Bank National Association), as trustee (the “</w:t>
      </w: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>Trustee</w:t>
      </w: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”), paying agent and registrar under the Indenture (as defined below).</w:t>
      </w:r>
    </w:p>
    <w:p>
      <w:pPr>
        <w:pStyle w:val="Normal"/>
        <w:framePr w:w="13932" w:hAnchor="page" w:vAnchor="page" w:x="276" w:y="131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company incorporated under the laws of England and Wales (the “</w:t>
      </w: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>Issuer</w:t>
      </w: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”), U.S. Bank Trust Company National Association (successor in interest to</w:t>
      </w:r>
    </w:p>
    <w:p>
      <w:pPr>
        <w:pStyle w:val="Normal"/>
        <w:framePr w:w="13647" w:hAnchor="page" w:vAnchor="page" w:x="748" w:y="108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This second Supplemental Indenture (this “</w:t>
      </w: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>Second Supplemental Indenture</w:t>
      </w: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”), dated as of May 4, 2022, among TechnipFMC plc, a public limited</w:t>
      </w:r>
    </w:p>
    <w:p>
      <w:pPr>
        <w:pStyle w:val="Normal"/>
        <w:framePr w:w="3560" w:hAnchor="page" w:vAnchor="page" w:x="4790" w:y="73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SUPPLEMENTAL INDENTURE</w:t>
      </w:r>
    </w:p>
    <w:p>
      <w:pPr>
        <w:pStyle w:val="Normal"/>
        <w:framePr w:w="1308" w:hAnchor="page" w:vAnchor="page" w:x="11180" w:y="4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Exhibit 4.1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4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" style="position:absolute;margin-left:7pt;margin-top:1pt;z-index:-16777108;width:598pt;height:1005.9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" style="position:absolute;margin-left:94.2pt;margin-top:415.45pt;z-index:-16777104;width:116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" style="position:absolute;margin-left:94.2pt;margin-top:484.9pt;z-index:-16777100;width:116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9" style="position:absolute;margin-left:543pt;margin-top:484.9pt;z-index:-16777096;width:6.2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0" style="position:absolute;margin-left:547.3pt;margin-top:484.9pt;z-index:-16777092;width:35.7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1" style="position:absolute;margin-left:12.8pt;margin-top:496.45pt;z-index:-16777088;width:20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2" style="position:absolute;margin-left:31.5pt;margin-top:496.45pt;z-index:-16777084;width:9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3" o:title=""/>
          </v:shape>
        </w:pict>
      </w:r>
    </w:p>
    <w:p>
      <w:pPr>
        <w:pStyle w:val="Normal"/>
        <w:framePr w:w="344" w:hAnchor="page" w:vAnchor="page" w:x="6130" w:y="846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2</w:t>
      </w:r>
    </w:p>
    <w:p>
      <w:pPr>
        <w:pStyle w:val="Normal"/>
        <w:framePr w:w="7854" w:hAnchor="page" w:vAnchor="page" w:x="276" w:y="807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such provisions from the Notes shall be deemed deleted or amended as applicable.</w:t>
      </w:r>
    </w:p>
    <w:p>
      <w:pPr>
        <w:pStyle w:val="Normal"/>
        <w:framePr w:w="13517" w:hAnchor="page" w:vAnchor="page" w:x="748" w:y="783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(b)    The Notes include certain of the foregoing provisions from the Indenture. Upon the operative date of this Second Supplemental Indenture,</w:t>
      </w:r>
    </w:p>
    <w:p>
      <w:pPr>
        <w:pStyle w:val="Normal"/>
        <w:framePr w:w="1423" w:hAnchor="page" w:vAnchor="page" w:x="276" w:y="737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shall prevail.</w:t>
      </w:r>
    </w:p>
    <w:p>
      <w:pPr>
        <w:pStyle w:val="Normal"/>
        <w:framePr w:w="13985" w:hAnchor="page" w:vAnchor="page" w:x="276" w:y="714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Indenture and the terms and conditions of this Second Supplemental Indenture, then the terms and conditions of this Second Supplemental Indenture</w:t>
      </w:r>
    </w:p>
    <w:p>
      <w:pPr>
        <w:pStyle w:val="Normal"/>
        <w:framePr w:w="14057" w:hAnchor="page" w:vAnchor="page" w:x="276" w:y="691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the Notes heretofore or hereafter authenticated and delivered shall be bound hereby. In the event of a conflict between the terms and conditions of the</w:t>
      </w:r>
    </w:p>
    <w:p>
      <w:pPr>
        <w:pStyle w:val="Normal"/>
        <w:framePr w:w="14326" w:hAnchor="page" w:vAnchor="page" w:x="276" w:y="668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thereof shall remain in full force and effect. This Second Supplemental Indenture shall form a part of the Indenture for all purposes, and every Holder of</w:t>
      </w:r>
    </w:p>
    <w:p>
      <w:pPr>
        <w:pStyle w:val="Normal"/>
        <w:framePr w:w="13654" w:hAnchor="page" w:vAnchor="page" w:x="748" w:y="645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(a)    Except as expressly supplemented hereby, the Indenture is in all respects ratified and confirmed and all the terms, conditions and provisions</w:t>
      </w:r>
    </w:p>
    <w:p>
      <w:pPr>
        <w:pStyle w:val="Normal"/>
        <w:framePr w:w="3961" w:hAnchor="page" w:vAnchor="page" w:x="748" w:y="598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Section 3.01    Ratification of Indenture.</w:t>
      </w:r>
    </w:p>
    <w:p>
      <w:pPr>
        <w:pStyle w:val="Normal"/>
        <w:framePr w:w="2156" w:hAnchor="page" w:vAnchor="page" w:x="5375" w:y="552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MISCELLANEOUS</w:t>
      </w:r>
    </w:p>
    <w:p>
      <w:pPr>
        <w:pStyle w:val="Normal"/>
        <w:framePr w:w="1538" w:hAnchor="page" w:vAnchor="page" w:x="5632" w:y="529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ARTICLE III.</w:t>
      </w:r>
    </w:p>
    <w:p>
      <w:pPr>
        <w:pStyle w:val="Normal"/>
        <w:framePr w:w="13560" w:hAnchor="page" w:vAnchor="page" w:x="748" w:y="483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(f)    All references to Sections 6.1 and 8.4 of the Indenture shall mean Sections 6.1 and 8.4 as amended by this Second Supplemental Indenture.</w:t>
      </w:r>
    </w:p>
    <w:p>
      <w:pPr>
        <w:pStyle w:val="Normal"/>
        <w:framePr w:w="6138" w:hAnchor="page" w:vAnchor="page" w:x="276" w:y="436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Supplemental Indenture are hereby deleted in their entirety; and</w:t>
      </w:r>
    </w:p>
    <w:p>
      <w:pPr>
        <w:pStyle w:val="Normal"/>
        <w:framePr w:w="12558" w:hAnchor="page" w:vAnchor="page" w:x="748" w:y="413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(e)    All definitions set forth in Section 1.1 of the Indenture that relate to defined terms used solely in sections deleted by this Second</w:t>
      </w:r>
    </w:p>
    <w:p>
      <w:pPr>
        <w:pStyle w:val="Normal"/>
        <w:framePr w:w="8618" w:hAnchor="page" w:vAnchor="page" w:x="276" w:y="367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references thereto contained in Section 8.4 and elsewhere in the Indenture in their entirety;</w:t>
      </w:r>
    </w:p>
    <w:p>
      <w:pPr>
        <w:pStyle w:val="Normal"/>
        <w:framePr w:w="13684" w:hAnchor="page" w:vAnchor="page" w:x="748" w:y="344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(d)    The Indenture is hereby amended to delete paragraph (4) of Section 8.4 (</w:t>
      </w: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>Conditions to Legal or Covenant Defeasance</w:t>
      </w: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) in its entirety and all</w:t>
      </w:r>
    </w:p>
    <w:p>
      <w:pPr>
        <w:pStyle w:val="Normal"/>
        <w:framePr w:w="7867" w:hAnchor="page" w:vAnchor="page" w:x="276" w:y="297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(4), (5), (6), (7) and (8) of Section 6.1 shall no longer constitute Events of Default;</w:t>
      </w:r>
    </w:p>
    <w:p>
      <w:pPr>
        <w:pStyle w:val="Normal"/>
        <w:framePr w:w="14282" w:hAnchor="page" w:vAnchor="page" w:x="276" w:y="274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references thereto contained in Section 6.1 and elsewhere in the Indenture in their entirety, and the occurrence of the events described in paragraphs (3),</w:t>
      </w:r>
    </w:p>
    <w:p>
      <w:pPr>
        <w:pStyle w:val="Normal"/>
        <w:framePr w:w="13651" w:hAnchor="page" w:vAnchor="page" w:x="748" w:y="251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(c)    The Indenture is hereby amended to delete paragraphs (3), (4), (5), (6), (7) and (8) of Section 6.1 (</w:t>
      </w: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>Events of Default</w:t>
      </w: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) in their entirety and all</w:t>
      </w:r>
    </w:p>
    <w:p>
      <w:pPr>
        <w:pStyle w:val="Normal"/>
        <w:framePr w:w="10584" w:hAnchor="page" w:vAnchor="page" w:x="276" w:y="205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or an Event of Default under the Indenture and shall no longer have any other consequence under the Indenture;</w:t>
      </w:r>
    </w:p>
    <w:p>
      <w:pPr>
        <w:pStyle w:val="Normal"/>
        <w:framePr w:w="13613" w:hAnchor="page" w:vAnchor="page" w:x="748" w:y="182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(b)    The failure to comply with the terms of any of the Sections of the Indenture set forth in clause (i) above shall no longer constitute a Default</w:t>
      </w:r>
    </w:p>
    <w:p>
      <w:pPr>
        <w:pStyle w:val="Normal"/>
        <w:framePr w:w="10812" w:hAnchor="page" w:vAnchor="page" w:x="276" w:y="135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Section 4.19 (</w:t>
      </w: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>Maintenance of Listing</w:t>
      </w: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) and Section 5.1 (</w:t>
      </w: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>Consolidation, Merger, Conveyance, Transfer or Lease</w:t>
      </w: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);</w:t>
      </w:r>
    </w:p>
    <w:p>
      <w:pPr>
        <w:pStyle w:val="Normal"/>
        <w:framePr w:w="14318" w:hAnchor="page" w:vAnchor="page" w:x="276" w:y="112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Section 4.15 (</w:t>
      </w: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>Additional Guarantees</w:t>
      </w: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), Section 4.16 (</w:t>
      </w: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>Limitation on Designation of Unrestricted Subsidiaries</w:t>
      </w: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), Section 4.17 (</w:t>
      </w: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>Effectiveness of Covenants</w:t>
      </w: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),</w:t>
      </w:r>
    </w:p>
    <w:p>
      <w:pPr>
        <w:pStyle w:val="Normal"/>
        <w:framePr w:w="13931" w:hAnchor="page" w:vAnchor="page" w:x="276" w:y="89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Section 4.12 (</w:t>
      </w: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>Limitation on Liens</w:t>
      </w: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), Section 4.13 (</w:t>
      </w: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>Offer to Purchase upon Change of Control Triggering Event</w:t>
      </w: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), Section 4.14 (</w:t>
      </w: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>Corporate Existence</w:t>
      </w: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),</w:t>
      </w:r>
    </w:p>
    <w:p>
      <w:pPr>
        <w:pStyle w:val="Normal"/>
        <w:framePr w:w="14255" w:hAnchor="page" w:vAnchor="page" w:x="276" w:y="66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Section 4.9 (</w:t>
      </w: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>Limitation on Additional Indebtedness</w:t>
      </w: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), Section 4.10 (</w:t>
      </w: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>Limitation on Asset Sales</w:t>
      </w: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), Section 4.11 (</w:t>
      </w: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>Limitation on Transactions with Affiliates</w:t>
      </w: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),</w:t>
      </w:r>
    </w:p>
    <w:p>
      <w:pPr>
        <w:pStyle w:val="Normal"/>
        <w:framePr w:w="13737" w:hAnchor="page" w:vAnchor="page" w:x="276" w:y="43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Section 4.7 (</w:t>
      </w: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>Limitation on Restricted Payments</w:t>
      </w: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), Section 4.8 (</w:t>
      </w: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>Limitation on Dividend and Other Restrictions Affecting Restricted Subsidiaries</w:t>
      </w: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),</w:t>
      </w:r>
    </w:p>
    <w:p>
      <w:pPr>
        <w:pStyle w:val="Normal"/>
        <w:framePr w:w="12809" w:hAnchor="page" w:vAnchor="page" w:x="748" w:y="20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(a)    The Indenture is hereby amended to delete Section 4.3 (</w:t>
      </w: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>Provision of Financial Information</w:t>
      </w: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), Section 4.4 (</w:t>
      </w: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>Compliance Certificate</w:t>
      </w: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),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5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3" style="position:absolute;margin-left:7pt;margin-top:1pt;z-index:-16777080;width:598pt;height:1005.9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4" style="position:absolute;margin-left:12.8pt;margin-top:1pt;z-index:-16777076;width:58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5" style="position:absolute;margin-left:12.8pt;margin-top:2.45pt;z-index:-16777072;width:58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6" style="position:absolute;margin-left:597.95pt;margin-top:1pt;z-index:-16777068;width:2.7pt;height:4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7" style="position:absolute;margin-left:12.8pt;margin-top:1pt;z-index:-16777064;width:2.7pt;height:4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8" style="position:absolute;margin-left:94.2pt;margin-top:307.7pt;z-index:-16777060;width:97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9" o:title=""/>
          </v:shape>
        </w:pict>
      </w:r>
    </w:p>
    <w:p>
      <w:pPr>
        <w:pStyle w:val="Normal"/>
        <w:framePr w:w="344" w:hAnchor="page" w:vAnchor="page" w:x="6130" w:y="730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3</w:t>
      </w:r>
    </w:p>
    <w:p>
      <w:pPr>
        <w:pStyle w:val="Normal"/>
        <w:framePr w:w="4365" w:hAnchor="page" w:vAnchor="page" w:x="4454" w:y="691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[Remainder of page intentionally left blank.]</w:t>
      </w:r>
    </w:p>
    <w:p>
      <w:pPr>
        <w:pStyle w:val="Normal"/>
        <w:framePr w:w="12548" w:hAnchor="page" w:vAnchor="page" w:x="748" w:y="645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Section 3.05    Effect of Headings. The section headings herein are for convenience only and shall not affect the construction thereof.</w:t>
      </w:r>
    </w:p>
    <w:p>
      <w:pPr>
        <w:pStyle w:val="Normal"/>
        <w:framePr w:w="6093" w:hAnchor="page" w:vAnchor="page" w:x="276" w:y="598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original, but all of them together represent the same agreement.</w:t>
      </w:r>
    </w:p>
    <w:p>
      <w:pPr>
        <w:pStyle w:val="Normal"/>
        <w:framePr w:w="13368" w:hAnchor="page" w:vAnchor="page" w:x="748" w:y="575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Section 3.04    Counterparts. The parties may sign any number of copies of this Second Supplemental Indenture. Each signed copy shall be an</w:t>
      </w:r>
    </w:p>
    <w:p>
      <w:pPr>
        <w:pStyle w:val="Normal"/>
        <w:framePr w:w="3241" w:hAnchor="page" w:vAnchor="page" w:x="276" w:y="529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Second Supplemental Indenture.</w:t>
      </w:r>
    </w:p>
    <w:p>
      <w:pPr>
        <w:pStyle w:val="Normal"/>
        <w:framePr w:w="13668" w:hAnchor="page" w:vAnchor="page" w:x="276" w:y="506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be deemed incorporated herein by this reference and shall be deemed applicable to all actions taken, suffered or omitted by the Trustee under this</w:t>
      </w:r>
    </w:p>
    <w:p>
      <w:pPr>
        <w:pStyle w:val="Normal"/>
        <w:framePr w:w="14363" w:hAnchor="page" w:vAnchor="page" w:x="276" w:y="483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connection herewith or therewith. All rights, protections, privileges, indemnities and benefits granted or afforded to the Trustee under the Indenture shall</w:t>
      </w:r>
    </w:p>
    <w:p>
      <w:pPr>
        <w:pStyle w:val="Normal"/>
        <w:framePr w:w="13816" w:hAnchor="page" w:vAnchor="page" w:x="276" w:y="459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or recital in any offers to purchase or solicitations made by Issuer, or in any Officers’ Certificate delivered to the Trustee, or any other document in</w:t>
      </w:r>
    </w:p>
    <w:p>
      <w:pPr>
        <w:pStyle w:val="Normal"/>
        <w:framePr w:w="14185" w:hAnchor="page" w:vAnchor="page" w:x="276" w:y="436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sufficiency of this Second Supplemental Indenture and it shall not be responsible for the correctness of any statement or recital herein or any statement</w:t>
      </w:r>
    </w:p>
    <w:p>
      <w:pPr>
        <w:pStyle w:val="Normal"/>
        <w:framePr w:w="13624" w:hAnchor="page" w:vAnchor="page" w:x="276" w:y="413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effectiveness of the Second Supplemental Indenture have been met or waived. The Trustee does not make any representation as to the validity or</w:t>
      </w:r>
    </w:p>
    <w:p>
      <w:pPr>
        <w:pStyle w:val="Normal"/>
        <w:framePr w:w="13673" w:hAnchor="page" w:vAnchor="page" w:x="276" w:y="390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liability for, determining if this Second Supplemental Indenture is authorized or permitted by this Indenture or that all conditions precedent to the</w:t>
      </w:r>
    </w:p>
    <w:p>
      <w:pPr>
        <w:pStyle w:val="Normal"/>
        <w:framePr w:w="13691" w:hAnchor="page" w:vAnchor="page" w:x="276" w:y="367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assumes no responsibility for the correctness of the same. The Trustee shall not be responsible for, makes no representation as to, and assumes no</w:t>
      </w:r>
    </w:p>
    <w:p>
      <w:pPr>
        <w:pStyle w:val="Normal"/>
        <w:framePr w:w="13008" w:hAnchor="page" w:vAnchor="page" w:x="748" w:y="344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Section 3.03    Trustee Makes No Representation. The recitals contained herein are those of the Issuer and not the Trustee, and the Trustee</w:t>
      </w:r>
    </w:p>
    <w:p>
      <w:pPr>
        <w:pStyle w:val="Normal"/>
        <w:framePr w:w="9782" w:hAnchor="page" w:vAnchor="page" w:x="276" w:y="297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do so, any objection which it may now or hereafter have to the laying of venue of any such proceeding.</w:t>
      </w:r>
    </w:p>
    <w:p>
      <w:pPr>
        <w:pStyle w:val="Normal"/>
        <w:framePr w:w="14162" w:hAnchor="page" w:vAnchor="page" w:x="276" w:y="274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any U.S. federal or state court located in the State and City of New York, Borough of Manhattan and (ii) waives, to the fullest extent it may effectively</w:t>
      </w:r>
    </w:p>
    <w:p>
      <w:pPr>
        <w:pStyle w:val="Normal"/>
        <w:framePr w:w="14239" w:hAnchor="page" w:vAnchor="page" w:x="276" w:y="251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Supplemental Indenture or the transactions contemplated thereby, and any action arising under U.S. federal or state securities laws, may be instituted in</w:t>
      </w:r>
    </w:p>
    <w:p>
      <w:pPr>
        <w:pStyle w:val="Normal"/>
        <w:framePr w:w="13328" w:hAnchor="page" w:vAnchor="page" w:x="748" w:y="228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Each of the parties hereto irrevocably (i) agrees that any suit, action or proceeding arising out of, related to, or in connection with this Second</w:t>
      </w:r>
    </w:p>
    <w:p>
      <w:pPr>
        <w:pStyle w:val="Normal"/>
        <w:framePr w:w="1880" w:hAnchor="page" w:vAnchor="page" w:x="276" w:y="182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OF NEW YORK.</w:t>
      </w:r>
    </w:p>
    <w:p>
      <w:pPr>
        <w:pStyle w:val="Normal"/>
        <w:framePr w:w="13635" w:hAnchor="page" w:vAnchor="page" w:x="748" w:y="159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THIS SECOND SUPPLEMENTAL INDENTURE SHALL BE GOVERNED BY AND CONSTRUED IN ACCORDANCE WITH THE LAWS</w:t>
      </w:r>
    </w:p>
    <w:p>
      <w:pPr>
        <w:pStyle w:val="Normal"/>
        <w:framePr w:w="4661" w:hAnchor="page" w:vAnchor="page" w:x="748" w:y="112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Section 3.02    Governing Law and Jurisdiction.</w:t>
      </w:r>
    </w:p>
    <w:p>
      <w:pPr>
        <w:pStyle w:val="Normal"/>
        <w:framePr w:w="10560" w:hAnchor="page" w:vAnchor="page" w:x="276" w:y="66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all Holders who have validly delivered and not validly revoked consents pursuant to the terms of the Statement.</w:t>
      </w:r>
    </w:p>
    <w:p>
      <w:pPr>
        <w:pStyle w:val="Normal"/>
        <w:framePr w:w="14390" w:hAnchor="page" w:vAnchor="page" w:x="276" w:y="43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and date upon which the Issuer pays the Early Tender Premium or Tender Offer Consideration, as applicable (as such term is defined in the Statement) to</w:t>
      </w:r>
    </w:p>
    <w:p>
      <w:pPr>
        <w:pStyle w:val="Normal"/>
        <w:framePr w:w="13496" w:hAnchor="page" w:vAnchor="page" w:x="748" w:y="20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(c)    Notwithstanding an earlier execution date, the provisions of this Second Supplemental Indenture shall not become operative until the time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6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9" style="position:absolute;margin-left:7pt;margin-top:1pt;z-index:-16777056;width:598pt;height:1005.9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0" style="position:absolute;margin-left:12.8pt;margin-top:1pt;z-index:-16777052;width:58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1" style="position:absolute;margin-left:12.8pt;margin-top:2.45pt;z-index:-16777048;width:58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2" style="position:absolute;margin-left:597.95pt;margin-top:1pt;z-index:-16777044;width:2.7pt;height:4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3" style="position:absolute;margin-left:12.8pt;margin-top:1pt;z-index:-16777040;width:2.7pt;height:4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4" style="position:absolute;margin-left:94.2pt;margin-top:64.65pt;z-index:-16777036;width:126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5" style="position:absolute;margin-left:94.2pt;margin-top:180.4pt;z-index:-16777032;width:133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6" style="position:absolute;margin-left:94.2pt;margin-top:296.1pt;z-index:-16777028;width:51.8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7" style="position:absolute;margin-left:94.2pt;margin-top:330.85pt;z-index:-16777024;width:74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8" o:title=""/>
          </v:shape>
        </w:pict>
      </w:r>
    </w:p>
    <w:p>
      <w:pPr>
        <w:pStyle w:val="Normal"/>
        <w:framePr w:w="5036" w:hAnchor="page" w:vAnchor="page" w:x="4175" w:y="441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(</w:t>
      </w: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>Signature Page to Second Supplemental Indenture</w:t>
      </w: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)</w:t>
      </w:r>
    </w:p>
    <w:p>
      <w:pPr>
        <w:pStyle w:val="Normal"/>
        <w:framePr w:w="2316" w:hAnchor="page" w:vAnchor="page" w:x="7364" w:y="402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Title:    Vice President</w:t>
      </w:r>
    </w:p>
    <w:p>
      <w:pPr>
        <w:pStyle w:val="Normal"/>
        <w:framePr w:w="3007" w:hAnchor="page" w:vAnchor="page" w:x="7364" w:y="378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Name:  Michael K. Herberger</w:t>
      </w:r>
    </w:p>
    <w:p>
      <w:pPr>
        <w:pStyle w:val="Normal"/>
        <w:framePr w:w="562" w:hAnchor="page" w:vAnchor="page" w:x="7364" w:y="352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By:</w:t>
      </w:r>
    </w:p>
    <w:p>
      <w:pPr>
        <w:pStyle w:val="Normal"/>
        <w:framePr w:w="2645" w:hAnchor="page" w:vAnchor="page" w:x="7928" w:y="352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/S/ Michael K. Herberger</w:t>
      </w:r>
    </w:p>
    <w:p>
      <w:pPr>
        <w:pStyle w:val="Normal"/>
        <w:framePr w:w="1164" w:hAnchor="page" w:vAnchor="page" w:x="7364" w:y="305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as Trustee</w:t>
      </w:r>
    </w:p>
    <w:p>
      <w:pPr>
        <w:pStyle w:val="Normal"/>
        <w:framePr w:w="1889" w:hAnchor="page" w:vAnchor="page" w:x="7364" w:y="281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ASSOCIATION,</w:t>
      </w:r>
    </w:p>
    <w:p>
      <w:pPr>
        <w:pStyle w:val="Normal"/>
        <w:framePr w:w="4768" w:hAnchor="page" w:vAnchor="page" w:x="7364" w:y="258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U.S. BANK TRUST COMPANY, NATIONAL</w:t>
      </w:r>
    </w:p>
    <w:p>
      <w:pPr>
        <w:pStyle w:val="Normal"/>
        <w:framePr w:w="3644" w:hAnchor="page" w:vAnchor="page" w:x="7364" w:y="212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Title:    Vice President and Treasurer</w:t>
      </w:r>
    </w:p>
    <w:p>
      <w:pPr>
        <w:pStyle w:val="Normal"/>
        <w:framePr w:w="2497" w:hAnchor="page" w:vAnchor="page" w:x="7364" w:y="189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Name:  Fred Schacknies</w:t>
      </w:r>
    </w:p>
    <w:p>
      <w:pPr>
        <w:pStyle w:val="Normal"/>
        <w:framePr w:w="562" w:hAnchor="page" w:vAnchor="page" w:x="7364" w:y="163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By:</w:t>
      </w:r>
    </w:p>
    <w:p>
      <w:pPr>
        <w:pStyle w:val="Normal"/>
        <w:framePr w:w="2135" w:hAnchor="page" w:vAnchor="page" w:x="7928" w:y="163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/S/ Fred Schacknies</w:t>
      </w:r>
    </w:p>
    <w:p>
      <w:pPr>
        <w:pStyle w:val="Normal"/>
        <w:framePr w:w="1031" w:hAnchor="page" w:vAnchor="page" w:x="7364" w:y="115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as Issuer</w:t>
      </w:r>
    </w:p>
    <w:p>
      <w:pPr>
        <w:pStyle w:val="Normal"/>
        <w:framePr w:w="2387" w:hAnchor="page" w:vAnchor="page" w:x="7364" w:y="92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TECHNIPFMC PLC,</w:t>
      </w:r>
    </w:p>
    <w:p>
      <w:pPr>
        <w:pStyle w:val="Normal"/>
        <w:framePr w:w="838" w:hAnchor="page" w:vAnchor="page" w:x="276" w:y="43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above.</w:t>
      </w:r>
    </w:p>
    <w:p>
      <w:pPr>
        <w:pStyle w:val="Normal"/>
        <w:framePr w:w="13278" w:hAnchor="page" w:vAnchor="page" w:x="748" w:y="20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IN WITNESS WHEREOF, the parties hereto have caused this Second Supplemental Indenture to be duly executed as of the date first written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8" style="position:absolute;margin-left:7pt;margin-top:1pt;z-index:-16777020;width:598pt;height:243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9" style="position:absolute;margin-left:12.8pt;margin-top:1pt;z-index:-16777016;width:58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0" style="position:absolute;margin-left:12.8pt;margin-top:2.45pt;z-index:-16777012;width:58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1" style="position:absolute;margin-left:597.95pt;margin-top:1pt;z-index:-16777008;width:2.7pt;height:4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2" style="position:absolute;margin-left:12.8pt;margin-top:1pt;z-index:-16777004;width:2.7pt;height:4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3" style="position:absolute;margin-left:398.3pt;margin-top:92.15pt;z-index:-16777000;width:206.7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4" style="position:absolute;margin-left:398.3pt;margin-top:186.9pt;z-index:-16776996;width:206.7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5" o:title=""/>
          </v:shape>
        </w:pict>
      </w:r>
    </w:p>
    <w:sectPr>
      <w:pgSz w:w="12240" w:h="20160"/>
      <w:pgMar w:top="400" w:right="400" w:bottom="400" w:left="400" w:header="720" w:footer="720"/>
      <w:pgNumType w:start="7"/>
      <w:cols w:space="720" w:sep="off"/>
      <w:docGrid w:line-pitch="31680"/>
    </w:sectPr>
  </w:body>
</w:document>
</file>

<file path=word/fontTable.xml><?xml version="1.0" encoding="utf-8"?>
<w:fonts xmlns:w="http://schemas.openxmlformats.org/wordprocessingml/2006/main">
  <w:defaultFonts w:hintType="default" w:ascii="Calibri" w:h-ansi="Calibri" w:fareast="宋体"/>
  <w:font w:name="Times New Roman">
    <w:panose-1>"02020603050405020304"</w:panose-1>
    <w:charset>
      <w:val>"00"</w:val>
    </w:charset>
    <w:family>"Roman"</w:family>
    <w:notTrueType w:val="off"/>
    <w:pitch>"variable"</w:pitch>
    <w:sig w:usb0="01010101" w:usb1="01010101" w:usb2="01010101" w:usb3="01010101" w:csb0="01010101" w:csb1="01010101"/>
  </w:font>
  <w:font w:name="Symbol">
    <w:panose-1>"05050102010706020507"</w:panose-1>
    <w:charset>
      <w:val>"02"</w:val>
    </w:charset>
    <w:family>"Roman"</w:family>
    <w:notTrueType w:val="off"/>
    <w:pitch>"variable"</w:pitch>
    <w:sig w:usb0="01010101" w:usb1="01010101" w:usb2="01010101" w:usb3="01010101" w:csb0="01010101" w:csb1="01010101"/>
  </w:font>
  <w:font w:name="Arial">
    <w:panose-1>"020b0604020202020204"</w:panose-1>
    <w:charset>
      <w:val>"00"</w:val>
    </w:charset>
    <w:family>"Swiss"</w:family>
    <w:notTrueType w:val="off"/>
    <w:pitch>"variable"</w:pitch>
    <w:sig w:usb0="01010101" w:usb1="01010101" w:usb2="01010101" w:usb3="01010101" w:csb0="01010101" w:csb1="01010101"/>
  </w:font>
  <w:font w:name="Calibri">
    <w:panose-1>"020f0502020204030204"</w:panose-1>
    <w:charset>
      <w:val>"00"</w:val>
    </w:charset>
    <w:family>"Swiss"</w:family>
    <w:notTrueType w:val="off"/>
    <w:pitch>"variable"</w:pitch>
    <w:sig w:usb0="01010101" w:usb1="01010101" w:usb2="01010101" w:usb3="01010101" w:csb0="01010101" w:csb1="01010101"/>
  </w:font>
  <w:font w:name="宋体">
    <w:altName>"SimSun"</w:altName>
    <w:panose-1>"02010600030101010101"</w:panose-1>
    <w:charset>
      <w:val>"86"</w:val>
    </w:charset>
    <w:family>"Auto"</w:family>
    <w:notTrueType w:val="off"/>
    <w:pitch>"variable"</w:pitch>
    <w:sig w:usb0="01010101" w:usb1="01010101" w:usb2="01010101" w:usb3="01010101" w:csb0="01010101" w:csb1="01010101"/>
  </w:font>
  <w:font w:name="Cambria Math">
    <w:panose-1>"02040503050406030204"</w:panose-1>
    <w:charset>
      <w:val>"01"</w:val>
    </w:charset>
    <w:family>"Roman"</w:family>
    <w:notTrueType w:val="on"/>
    <w:pitch>"variable"</w:pitch>
    <w:sig w:usb0="01010101" w:usb1="01010101" w:usb2="01010101" w:usb3="01010101" w:csb0="01010101" w:csb1="01010101"/>
  </w:font>
  <w:font w:name="TimesNewRomanPSMT">
    <w:panose-1>"02020603050405020304"</w:panose-1>
    <w:charset>
      <w:val>"01"</w:val>
    </w:charset>
    <w:family>"Roman"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1" w:fontKey="{0b244c23-0000-0000-0000-000000000000}"/>
  </w:font>
  <w:font w:name="DejaVuSans">
    <w:panose-1>"020b0603030804020204"</w:panose-1>
    <w:charset>
      <w:val>"01"</w:val>
    </w:charset>
    <w:family>"Swiss"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2" w:fontKey="{be00ae22-0000-0000-0000-000000000000}"/>
  </w:font>
  <w:font w:name="TimesNewRomanPS-BoldMT">
    <w:panose-1>"02020803070505020304"</w:panose-1>
    <w:charset>
      <w:val>"01"</w:val>
    </w:charset>
    <w:family>"Roman"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3" w:fontKey="{caef09bc-0000-0000-0000-000000000000}"/>
  </w:font>
  <w:font w:name="TimesNewRomanPS-ItalicMT">
    <w:panose-1>"02020503050405090304"</w:panose-1>
    <w:charset>
      <w:val>"01"</w:val>
    </w:charset>
    <w:family>"Roman"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4" w:fontKey="{b520054c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style w:type="paragraph" w:styleId="Normal" w:default="on">
    <w:name w:val="Normal"/>
    <w:next w:val="Normal"/>
    <w:link w:val="Normal"/>
    <w:pPr>
      <w:pStyle w:val="Normal"/>
      <w:spacing w:after="200" w:line="276"/>
    </w:pPr>
    <w:rPr>
      <w:sz w:val="22"/>
      <w:szCs w:val="22"/>
      <w:lang w:val="en-US" w:fareast="zh-CN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pPr>
      <w:pStyle w:val="TableNormal"/>
    </w:pPr>
    <w:tblPr>
      <w:tblInd w:w="0" w:type="dxa"/>
      <w:tblLayout>"Fixed"</w:tblLayout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  <w:pPr>
      <w:pStyle w:val="NoLi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media/image1.png" Type="http://schemas.openxmlformats.org/officeDocument/2006/relationships/image"/><Relationship Id="rId10" Target="media/image10.png" Type="http://schemas.openxmlformats.org/officeDocument/2006/relationships/image"/><Relationship Id="rId11" Target="media/image11.png" Type="http://schemas.openxmlformats.org/officeDocument/2006/relationships/image"/><Relationship Id="rId12" Target="media/image12.png" Type="http://schemas.openxmlformats.org/officeDocument/2006/relationships/image"/><Relationship Id="rId13" Target="media/image13.png" Type="http://schemas.openxmlformats.org/officeDocument/2006/relationships/image"/><Relationship Id="rId14" Target="media/image14.png" Type="http://schemas.openxmlformats.org/officeDocument/2006/relationships/image"/><Relationship Id="rId15" Target="media/image15.png" Type="http://schemas.openxmlformats.org/officeDocument/2006/relationships/image"/><Relationship Id="rId16" Target="media/image16.png" Type="http://schemas.openxmlformats.org/officeDocument/2006/relationships/image"/><Relationship Id="rId17" Target="media/image17.png" Type="http://schemas.openxmlformats.org/officeDocument/2006/relationships/image"/><Relationship Id="rId18" Target="media/image18.png" Type="http://schemas.openxmlformats.org/officeDocument/2006/relationships/image"/><Relationship Id="rId19" Target="media/image19.png" Type="http://schemas.openxmlformats.org/officeDocument/2006/relationships/image"/><Relationship Id="rId2" Target="media/image2.png" Type="http://schemas.openxmlformats.org/officeDocument/2006/relationships/image"/><Relationship Id="rId20" Target="media/image20.png" Type="http://schemas.openxmlformats.org/officeDocument/2006/relationships/image"/><Relationship Id="rId21" Target="media/image21.png" Type="http://schemas.openxmlformats.org/officeDocument/2006/relationships/image"/><Relationship Id="rId22" Target="media/image22.png" Type="http://schemas.openxmlformats.org/officeDocument/2006/relationships/image"/><Relationship Id="rId23" Target="media/image23.png" Type="http://schemas.openxmlformats.org/officeDocument/2006/relationships/image"/><Relationship Id="rId24" Target="media/image24.png" Type="http://schemas.openxmlformats.org/officeDocument/2006/relationships/image"/><Relationship Id="rId25" Target="media/image25.png" Type="http://schemas.openxmlformats.org/officeDocument/2006/relationships/image"/><Relationship Id="rId26" Target="media/image26.png" Type="http://schemas.openxmlformats.org/officeDocument/2006/relationships/image"/><Relationship Id="rId27" Target="media/image27.png" Type="http://schemas.openxmlformats.org/officeDocument/2006/relationships/image"/><Relationship Id="rId28" Target="media/image28.png" Type="http://schemas.openxmlformats.org/officeDocument/2006/relationships/image"/><Relationship Id="rId29" Target="media/image29.png" Type="http://schemas.openxmlformats.org/officeDocument/2006/relationships/image"/><Relationship Id="rId3" Target="media/image3.png" Type="http://schemas.openxmlformats.org/officeDocument/2006/relationships/image"/><Relationship Id="rId30" Target="media/image30.png" Type="http://schemas.openxmlformats.org/officeDocument/2006/relationships/image"/><Relationship Id="rId31" Target="media/image31.png" Type="http://schemas.openxmlformats.org/officeDocument/2006/relationships/image"/><Relationship Id="rId32" Target="media/image32.png" Type="http://schemas.openxmlformats.org/officeDocument/2006/relationships/image"/><Relationship Id="rId33" Target="media/image33.png" Type="http://schemas.openxmlformats.org/officeDocument/2006/relationships/image"/><Relationship Id="rId34" Target="media/image34.png" Type="http://schemas.openxmlformats.org/officeDocument/2006/relationships/image"/><Relationship Id="rId35" Target="media/image35.png" Type="http://schemas.openxmlformats.org/officeDocument/2006/relationships/image"/><Relationship Id="rId36" Target="media/image36.png" Type="http://schemas.openxmlformats.org/officeDocument/2006/relationships/image"/><Relationship Id="rId37" Target="media/image37.png" Type="http://schemas.openxmlformats.org/officeDocument/2006/relationships/image"/><Relationship Id="rId38" Target="media/image38.png" Type="http://schemas.openxmlformats.org/officeDocument/2006/relationships/image"/><Relationship Id="rId39" Target="media/image39.png" Type="http://schemas.openxmlformats.org/officeDocument/2006/relationships/image"/><Relationship Id="rId4" Target="media/image4.png" Type="http://schemas.openxmlformats.org/officeDocument/2006/relationships/image"/><Relationship Id="rId40" Target="media/image40.png" Type="http://schemas.openxmlformats.org/officeDocument/2006/relationships/image"/><Relationship Id="rId41" Target="media/image41.png" Type="http://schemas.openxmlformats.org/officeDocument/2006/relationships/image"/><Relationship Id="rId42" Target="media/image42.png" Type="http://schemas.openxmlformats.org/officeDocument/2006/relationships/image"/><Relationship Id="rId43" Target="media/image43.png" Type="http://schemas.openxmlformats.org/officeDocument/2006/relationships/image"/><Relationship Id="rId44" Target="media/image44.png" Type="http://schemas.openxmlformats.org/officeDocument/2006/relationships/image"/><Relationship Id="rId45" Target="media/image45.png" Type="http://schemas.openxmlformats.org/officeDocument/2006/relationships/image"/><Relationship Id="rId46" Target="media/image46.png" Type="http://schemas.openxmlformats.org/officeDocument/2006/relationships/image"/><Relationship Id="rId47" Target="media/image47.png" Type="http://schemas.openxmlformats.org/officeDocument/2006/relationships/image"/><Relationship Id="rId48" Target="media/image48.png" Type="http://schemas.openxmlformats.org/officeDocument/2006/relationships/image"/><Relationship Id="rId49" Target="media/image49.png" Type="http://schemas.openxmlformats.org/officeDocument/2006/relationships/image"/><Relationship Id="rId5" Target="media/image5.png" Type="http://schemas.openxmlformats.org/officeDocument/2006/relationships/image"/><Relationship Id="rId50" Target="media/image50.png" Type="http://schemas.openxmlformats.org/officeDocument/2006/relationships/image"/><Relationship Id="rId51" Target="media/image51.png" Type="http://schemas.openxmlformats.org/officeDocument/2006/relationships/image"/><Relationship Id="rId52" Target="media/image52.png" Type="http://schemas.openxmlformats.org/officeDocument/2006/relationships/image"/><Relationship Id="rId53" Target="media/image53.png" Type="http://schemas.openxmlformats.org/officeDocument/2006/relationships/image"/><Relationship Id="rId54" Target="media/image54.png" Type="http://schemas.openxmlformats.org/officeDocument/2006/relationships/image"/><Relationship Id="rId55" Target="media/image55.png" Type="http://schemas.openxmlformats.org/officeDocument/2006/relationships/image"/><Relationship Id="rId56" Target="styles.xml" Type="http://schemas.openxmlformats.org/officeDocument/2006/relationships/styles"/><Relationship Id="rId57" Target="fontTable.xml" Type="http://schemas.openxmlformats.org/officeDocument/2006/relationships/fontTable"/><Relationship Id="rId58" Target="settings.xml" Type="http://schemas.openxmlformats.org/officeDocument/2006/relationships/settings"/><Relationship Id="rId59" Target="webSettings.xml" Type="http://schemas.openxmlformats.org/officeDocument/2006/relationships/webSettings"/><Relationship Id="rId6" Target="media/image6.png" Type="http://schemas.openxmlformats.org/officeDocument/2006/relationships/image"/><Relationship Id="rId7" Target="media/image7.png" Type="http://schemas.openxmlformats.org/officeDocument/2006/relationships/image"/><Relationship Id="rId8" Target="media/image8.png" Type="http://schemas.openxmlformats.org/officeDocument/2006/relationships/image"/><Relationship Id="rId9" Target="media/image9.png" Type="http://schemas.openxmlformats.org/officeDocument/2006/relationships/image"/></Relationships>
</file>

<file path=word/_rels/fontTable.xml.rels><?xml version="1.0" encoding="UTF-8" standalone="yes"?><Relationships xmlns="http://schemas.openxmlformats.org/package/2006/relationships"><Relationship Id="rId1" Target="fonts/font1.odttf" Type="http://schemas.openxmlformats.org/officeDocument/2006/relationships/font"/><Relationship Id="rId2" Target="fonts/font2.odttf" Type="http://schemas.openxmlformats.org/officeDocument/2006/relationships/font"/><Relationship Id="rId3" Target="fonts/font3.odttf" Type="http://schemas.openxmlformats.org/officeDocument/2006/relationships/font"/><Relationship Id="rId4" Target="fonts/font4.odttf" Type="http://schemas.openxmlformats.org/officeDocument/2006/relationships/font"/></Relationships>
</file>

<file path=docProps/app.xml><?xml version="1.0" encoding="utf-8"?>
<Properties xmlns="http://schemas.openxmlformats.org/officeDocument/2006/extended-properties">
  <Template>Normal.dotm</Template>
  <TotalTime>3</TotalTime>
  <Pages>7</Pages>
  <Words>2039</Words>
  <Characters>10965</Characters>
  <Application>e-iceblue</Application>
  <DocSecurity>0</DocSecurity>
  <Lines>189</Lines>
  <Paragraphs>189</Paragraphs>
  <ScaleCrop>false</ScaleCrop>
  <Company>e-iceblue</Company>
  <LinksUpToDate>false</LinksUpToDate>
  <CharactersWithSpaces>12833</CharactersWithSpaces>
  <SharedDoc>false</SharedDoc>
  <HyperlinksChanged>false</HyperlinksChanged>
  <AppVersion>1.0000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2022-05-10T21:15:11Z</dcterms:created>
  <dc:creator>root</dc:creator>
  <cp:lastModifiedBy>root</cp:lastModifiedBy>
  <dcterms:modified xsi:type="dcterms:W3CDTF">2022-05-10T21:15:11Z</dcterms:modified>
  <cp:revision>1</cp:revision>
</cp:coreProperties>
</file>