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066" w:hAnchor="page" w:vAnchor="page" w:x="276" w:y="136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new or revised financial accounting standards provided pursuant to Section 13(a) of the Exchange Act.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4016" w:hAnchor="page" w:vAnchor="page" w:x="276" w:y="13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an emerging growth company, indicate by check mark if the registrant has elected not to use the extended transition period for complying with any</w:t>
      </w:r>
    </w:p>
    <w:p>
      <w:pPr>
        <w:pStyle w:val="Normal"/>
        <w:framePr w:w="3079" w:hAnchor="page" w:vAnchor="page" w:x="276" w:y="1305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Emerging growth company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35" w:hAnchor="page" w:vAnchor="page" w:x="276" w:y="12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chapter) or Rule 12b-2 of the Securities Exchange Act of 1934 (§240.12b-2 of this chapter).</w:t>
      </w:r>
    </w:p>
    <w:p>
      <w:pPr>
        <w:pStyle w:val="Normal"/>
        <w:framePr w:w="14012" w:hAnchor="page" w:vAnchor="page" w:x="276" w:y="12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is an emerging growth company as defined in Rule 405 of the Securities Act of 1933 (§230.405 of this</w:t>
      </w:r>
    </w:p>
    <w:p>
      <w:pPr>
        <w:pStyle w:val="Normal"/>
        <w:framePr w:w="6504" w:hAnchor="page" w:vAnchor="page" w:x="3563" w:y="12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Securities registered pursuant to Section 12(g) of the Act: None.</w:t>
      </w:r>
    </w:p>
    <w:p>
      <w:pPr>
        <w:pStyle w:val="Normal"/>
        <w:framePr w:w="4461" w:hAnchor="page" w:vAnchor="page" w:x="516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Ordinary shares, $1.00 par value per share</w:t>
      </w:r>
    </w:p>
    <w:p>
      <w:pPr>
        <w:pStyle w:val="Normal"/>
        <w:framePr w:w="614" w:hAnchor="page" w:vAnchor="page" w:x="6140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FTI</w:t>
      </w:r>
    </w:p>
    <w:p>
      <w:pPr>
        <w:pStyle w:val="Normal"/>
        <w:framePr w:w="2844" w:hAnchor="page" w:vAnchor="page" w:x="9102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New York Stock Exchange</w:t>
      </w:r>
    </w:p>
    <w:p>
      <w:pPr>
        <w:pStyle w:val="Normal"/>
        <w:framePr w:w="1662" w:hAnchor="page" w:vAnchor="page" w:x="1662" w:y="1153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Title of Each Class</w:t>
      </w:r>
    </w:p>
    <w:p>
      <w:pPr>
        <w:pStyle w:val="Normal"/>
        <w:framePr w:w="776" w:hAnchor="page" w:vAnchor="page" w:x="6052" w:y="1153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Symbol</w:t>
      </w:r>
    </w:p>
    <w:p>
      <w:pPr>
        <w:pStyle w:val="Normal"/>
        <w:framePr w:w="1831" w:hAnchor="page" w:vAnchor="page" w:x="9504" w:y="1153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on Which Registered</w:t>
      </w:r>
    </w:p>
    <w:p>
      <w:pPr>
        <w:pStyle w:val="Normal"/>
        <w:framePr w:w="814" w:hAnchor="page" w:vAnchor="page" w:x="6037" w:y="1137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Trading</w:t>
      </w:r>
    </w:p>
    <w:p>
      <w:pPr>
        <w:pStyle w:val="Normal"/>
        <w:framePr w:w="2107" w:hAnchor="page" w:vAnchor="page" w:x="9389" w:y="1137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Each Exchange</w:t>
      </w:r>
    </w:p>
    <w:p>
      <w:pPr>
        <w:pStyle w:val="Normal"/>
        <w:framePr w:w="5887" w:hAnchor="page" w:vAnchor="page" w:x="3820" w:y="11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Securities registered pursuant to Section 12(b) of the Act:</w:t>
      </w:r>
    </w:p>
    <w:p>
      <w:pPr>
        <w:pStyle w:val="Normal"/>
        <w:framePr w:w="435" w:hAnchor="page" w:vAnchor="page" w:x="276" w:y="1062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566" w:hAnchor="page" w:vAnchor="page" w:x="739" w:y="10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13e-4(c) under the Exchange Act (17 CFR 240.13e-4(c))</w:t>
      </w:r>
    </w:p>
    <w:p>
      <w:pPr>
        <w:pStyle w:val="Normal"/>
        <w:framePr w:w="435" w:hAnchor="page" w:vAnchor="page" w:x="276" w:y="102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618" w:hAnchor="page" w:vAnchor="page" w:x="739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14d-2(b) under the Exchange Act (17 CFR 240.14d-2(b))</w:t>
      </w:r>
    </w:p>
    <w:p>
      <w:pPr>
        <w:pStyle w:val="Normal"/>
        <w:framePr w:w="435" w:hAnchor="page" w:vAnchor="page" w:x="276" w:y="99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62" w:hAnchor="page" w:vAnchor="page" w:x="739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pursuant to Rule 14a-12 under the Exchange Act (17 CFR 240.14a-12)</w:t>
      </w:r>
    </w:p>
    <w:p>
      <w:pPr>
        <w:pStyle w:val="Normal"/>
        <w:framePr w:w="435" w:hAnchor="page" w:vAnchor="page" w:x="276" w:y="95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40" w:hAnchor="page" w:vAnchor="page" w:x="739" w:y="9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communications pursuant to Rule 425 under the Securities Act (17 CFR 230.425)</w:t>
      </w:r>
    </w:p>
    <w:p>
      <w:pPr>
        <w:pStyle w:val="Normal"/>
        <w:framePr w:w="2214" w:hAnchor="page" w:vAnchor="page" w:x="276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provisions:</w:t>
      </w:r>
    </w:p>
    <w:p>
      <w:pPr>
        <w:pStyle w:val="Normal"/>
        <w:framePr w:w="13786" w:hAnchor="page" w:vAnchor="page" w:x="276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below if the Form 8-K filing is intended to simultaneously satisfy the filing obligation of the registrant under any of the</w:t>
      </w:r>
    </w:p>
    <w:p>
      <w:pPr>
        <w:pStyle w:val="Normal"/>
        <w:framePr w:w="5074" w:hAnchor="page" w:vAnchor="page" w:x="4139" w:y="83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(Former name or former address, if changed since last report)</w:t>
      </w:r>
    </w:p>
    <w:p>
      <w:pPr>
        <w:pStyle w:val="Normal"/>
        <w:framePr w:w="1713" w:hAnchor="page" w:vAnchor="page" w:x="5559" w:y="8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4356" w:hAnchor="page" w:vAnchor="page" w:x="4438" w:y="784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(Registrant’s telephone number, including area code)</w:t>
      </w:r>
    </w:p>
    <w:p>
      <w:pPr>
        <w:pStyle w:val="Normal"/>
        <w:framePr w:w="1960" w:hAnchor="page" w:vAnchor="page" w:x="5456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+44 191-295-0303</w:t>
      </w:r>
    </w:p>
    <w:p>
      <w:pPr>
        <w:pStyle w:val="Normal"/>
        <w:framePr w:w="3239" w:hAnchor="page" w:vAnchor="page" w:x="1981" w:y="732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1038" w:hAnchor="page" w:vAnchor="page" w:x="8858" w:y="732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(Zip Code)</w:t>
      </w:r>
    </w:p>
    <w:p>
      <w:pPr>
        <w:pStyle w:val="Normal"/>
        <w:framePr w:w="1880" w:hAnchor="page" w:vAnchor="page" w:x="2567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134" w:hAnchor="page" w:vAnchor="page" w:x="8838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NE6 3PL</w:t>
      </w:r>
    </w:p>
    <w:p>
      <w:pPr>
        <w:pStyle w:val="Normal"/>
        <w:framePr w:w="2357" w:hAnchor="page" w:vAnchor="page" w:x="2369" w:y="68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Newcastle Upon Tyne</w:t>
      </w:r>
    </w:p>
    <w:p>
      <w:pPr>
        <w:pStyle w:val="Normal"/>
        <w:framePr w:w="2043" w:hAnchor="page" w:vAnchor="page" w:x="2500" w:y="66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Wincomblee Road</w:t>
      </w:r>
    </w:p>
    <w:p>
      <w:pPr>
        <w:pStyle w:val="Normal"/>
        <w:framePr w:w="1796" w:hAnchor="page" w:vAnchor="page" w:x="2602" w:y="6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Hadrian House,</w:t>
      </w:r>
    </w:p>
    <w:p>
      <w:pPr>
        <w:pStyle w:val="Normal"/>
        <w:framePr w:w="1531" w:hAnchor="page" w:vAnchor="page" w:x="1716" w:y="606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 incorporation)</w:t>
      </w:r>
    </w:p>
    <w:p>
      <w:pPr>
        <w:pStyle w:val="Normal"/>
        <w:framePr w:w="1243" w:hAnchor="page" w:vAnchor="page" w:x="5858" w:y="606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File Number)</w:t>
      </w:r>
    </w:p>
    <w:p>
      <w:pPr>
        <w:pStyle w:val="Normal"/>
        <w:framePr w:w="1629" w:hAnchor="page" w:vAnchor="page" w:x="9588" w:y="606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Identification No.)</w:t>
      </w:r>
    </w:p>
    <w:p>
      <w:pPr>
        <w:pStyle w:val="Normal"/>
        <w:framePr w:w="2292" w:hAnchor="page" w:vAnchor="page" w:x="1400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(State or other jurisdiction</w:t>
      </w:r>
    </w:p>
    <w:p>
      <w:pPr>
        <w:pStyle w:val="Normal"/>
        <w:framePr w:w="1218" w:hAnchor="page" w:vAnchor="page" w:x="5868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(Commission</w:t>
      </w:r>
    </w:p>
    <w:p>
      <w:pPr>
        <w:pStyle w:val="Normal"/>
        <w:framePr w:w="1516" w:hAnchor="page" w:vAnchor="page" w:x="9635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(I.R.S. Employer</w:t>
      </w:r>
    </w:p>
    <w:p>
      <w:pPr>
        <w:pStyle w:val="Normal"/>
        <w:framePr w:w="1880" w:hAnchor="page" w:vAnchor="page" w:x="1591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231" w:hAnchor="page" w:vAnchor="page" w:x="5883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001-37983</w:t>
      </w:r>
    </w:p>
    <w:p>
      <w:pPr>
        <w:pStyle w:val="Normal"/>
        <w:framePr w:w="1346" w:hAnchor="page" w:vAnchor="page" w:x="9726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98-1283037</w:t>
      </w:r>
    </w:p>
    <w:p>
      <w:pPr>
        <w:pStyle w:val="Normal"/>
        <w:framePr w:w="5338" w:hAnchor="page" w:vAnchor="page" w:x="4049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(Exact name of registrant as specified in its charter)</w:t>
      </w:r>
    </w:p>
    <w:p>
      <w:pPr>
        <w:pStyle w:val="Normal"/>
        <w:framePr w:w="4179" w:hAnchor="page" w:vAnchor="page" w:x="4508" w:y="4459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5388" w:hAnchor="page" w:vAnchor="page" w:x="3844" w:y="376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Date of Report (Date of earliest event reported)</w:t>
      </w:r>
    </w:p>
    <w:p>
      <w:pPr>
        <w:pStyle w:val="Normal"/>
        <w:framePr w:w="1575" w:hAnchor="page" w:vAnchor="page" w:x="5577" w:y="3508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May 4, 2022</w:t>
      </w:r>
    </w:p>
    <w:p>
      <w:pPr>
        <w:pStyle w:val="Normal"/>
        <w:framePr w:w="4496" w:hAnchor="page" w:vAnchor="page" w:x="4249" w:y="3118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3782" w:hAnchor="page" w:vAnchor="page" w:x="4574" w:y="2857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Section 13 OR 15(d)</w:t>
      </w:r>
    </w:p>
    <w:p>
      <w:pPr>
        <w:pStyle w:val="Normal"/>
        <w:framePr w:w="2628" w:hAnchor="page" w:vAnchor="page" w:x="5099" w:y="2597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CURRENT REPORT</w:t>
      </w:r>
    </w:p>
    <w:p>
      <w:pPr>
        <w:pStyle w:val="Normal"/>
        <w:framePr w:w="2262" w:hAnchor="page" w:vAnchor="page" w:x="5325" w:y="1785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8-K</w:t>
      </w:r>
    </w:p>
    <w:p>
      <w:pPr>
        <w:pStyle w:val="Normal"/>
        <w:framePr w:w="2877" w:hAnchor="page" w:vAnchor="page" w:x="4985" w:y="112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72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33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81.3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21.8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4.3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2.9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439.3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14.2pt;margin-top:584.7pt;z-index:-16777180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19.65pt;margin-top:584.7pt;z-index:-16777176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584.7pt;z-index:-16777172;width:20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700.45pt;z-index:-1677716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704.05pt;z-index:-1677716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575" w:hAnchor="page" w:vAnchor="page" w:x="276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104</w:t>
      </w:r>
    </w:p>
    <w:p>
      <w:pPr>
        <w:pStyle w:val="Normal"/>
        <w:framePr w:w="344" w:hAnchor="page" w:vAnchor="page" w:x="782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55" w:hAnchor="page" w:vAnchor="page" w:x="1346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Cover Page Interactive Data File (embedded within the Inline XBRL document)</w:t>
      </w:r>
    </w:p>
    <w:p>
      <w:pPr>
        <w:pStyle w:val="Normal"/>
        <w:framePr w:w="344" w:hAnchor="page" w:vAnchor="page" w:x="782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465" w:hAnchor="page" w:vAnchor="page" w:x="1346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in interest to U.S. Bank National Association), as trustee</w:t>
      </w:r>
    </w:p>
    <w:p>
      <w:pPr>
        <w:pStyle w:val="Normal"/>
        <w:framePr w:w="575" w:hAnchor="page" w:vAnchor="page" w:x="276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4.1</w:t>
      </w:r>
    </w:p>
    <w:p>
      <w:pPr>
        <w:pStyle w:val="Normal"/>
        <w:framePr w:w="12992" w:hAnchor="page" w:vAnchor="page" w:x="1346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Supplemental Indenture, dated May 4, 2022, by and among the Company and U.S. Bank Trust Company, National Association (successor</w:t>
      </w:r>
    </w:p>
    <w:p>
      <w:pPr>
        <w:pStyle w:val="Normal"/>
        <w:framePr w:w="879" w:hAnchor="page" w:vAnchor="page" w:x="276" w:y="450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Number  </w:t>
      </w:r>
    </w:p>
    <w:p>
      <w:pPr>
        <w:pStyle w:val="Normal"/>
        <w:framePr w:w="1634" w:hAnchor="page" w:vAnchor="page" w:x="6107" w:y="450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Exhibit Description</w:t>
      </w:r>
    </w:p>
    <w:p>
      <w:pPr>
        <w:pStyle w:val="Normal"/>
        <w:framePr w:w="725" w:hAnchor="page" w:vAnchor="page" w:x="302" w:y="434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Exhibit</w:t>
      </w:r>
    </w:p>
    <w:p>
      <w:pPr>
        <w:pStyle w:val="Normal"/>
        <w:framePr w:w="1327" w:hAnchor="page" w:vAnchor="page" w:x="276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 Exhibits</w:t>
      </w:r>
    </w:p>
    <w:p>
      <w:pPr>
        <w:pStyle w:val="Normal"/>
        <w:framePr w:w="1115" w:hAnchor="page" w:vAnchor="page" w:x="276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9.01</w:t>
      </w:r>
    </w:p>
    <w:p>
      <w:pPr>
        <w:pStyle w:val="Normal"/>
        <w:framePr w:w="3383" w:hAnchor="page" w:vAnchor="page" w:x="1563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Statements and Exhibits</w:t>
      </w:r>
    </w:p>
    <w:p>
      <w:pPr>
        <w:pStyle w:val="Normal"/>
        <w:framePr w:w="13438" w:hAnchor="page" w:vAnchor="page" w:x="27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indenture, which is attached to this current report on Form 8-K as Exhibit 4.1, and is incorporated by reference as though fully set forth herein.</w:t>
      </w:r>
    </w:p>
    <w:p>
      <w:pPr>
        <w:pStyle w:val="Normal"/>
        <w:framePr w:w="13727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foregoing description of the Second Supplemental Indenture is qualified in its entirety by reference to the complete text of such supplemental</w:t>
      </w:r>
    </w:p>
    <w:p>
      <w:pPr>
        <w:pStyle w:val="Normal"/>
        <w:framePr w:w="2515" w:hAnchor="page" w:vAnchor="page" w:x="27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certain events of default.</w:t>
      </w:r>
    </w:p>
    <w:p>
      <w:pPr>
        <w:pStyle w:val="Normal"/>
        <w:framePr w:w="14357" w:hAnchor="page" w:vAnchor="page" w:x="276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Second Supplemental Indenture, among other things, removes substantially all of the restrictive covenants contained in the Indenture and eliminates</w:t>
      </w:r>
    </w:p>
    <w:p>
      <w:pPr>
        <w:pStyle w:val="Normal"/>
        <w:framePr w:w="3698" w:hAnchor="page" w:vAnchor="page" w:x="276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principal amount remain outstanding.</w:t>
      </w:r>
    </w:p>
    <w:p>
      <w:pPr>
        <w:pStyle w:val="Normal"/>
        <w:framePr w:w="13664" w:hAnchor="page" w:vAnchor="page" w:x="27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National Association), as trustee governing the Company’s 6.500% Senior Notes due 2026 (the “2026 Notes”), of which $202,892,000 aggregate</w:t>
      </w:r>
    </w:p>
    <w:p>
      <w:pPr>
        <w:pStyle w:val="Normal"/>
        <w:framePr w:w="14036" w:hAnchor="page" w:vAnchor="page" w:x="27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2021) (collectively, the “Indenture”), between the Company and U.S. Bank Trust Company, National Association (successor in interest to U.S. Bank,</w:t>
      </w:r>
    </w:p>
    <w:p>
      <w:pPr>
        <w:pStyle w:val="Normal"/>
        <w:framePr w:w="14388" w:hAnchor="page" w:vAnchor="page" w:x="276" w:y="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Supplemental Indenture”) to the certain indenture, dated as of January 29, 2021 (as amended by the first supplemental indenture dated as of February 16,</w:t>
      </w:r>
    </w:p>
    <w:p>
      <w:pPr>
        <w:pStyle w:val="Normal"/>
        <w:framePr w:w="14013" w:hAnchor="page" w:vAnchor="page" w:x="276" w:y="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May 4, 2022, TechnipFMC plc (the “Company”), following a solicitation of consents, entered into a second supplemental indenture (the “Second</w:t>
      </w:r>
    </w:p>
    <w:p>
      <w:pPr>
        <w:pStyle w:val="Normal"/>
        <w:framePr w:w="1115" w:hAnchor="page" w:vAnchor="page" w:x="276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1.01</w:t>
      </w:r>
    </w:p>
    <w:p>
      <w:pPr>
        <w:pStyle w:val="Normal"/>
        <w:framePr w:w="4256" w:hAnchor="page" w:vAnchor="page" w:x="1563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Entry Into a Material Definitive Agreement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3.9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95pt;margin-top:1pt;z-index:-16777148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66.3pt;margin-top:247.65pt;z-index:-16777140;width:53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66.3pt;margin-top:259.2pt;z-index:-16777136;width:22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</w:p>
    <w:p>
      <w:pPr>
        <w:pStyle w:val="Normal"/>
        <w:framePr w:w="3371" w:hAnchor="page" w:vAnchor="page" w:x="6887" w:y="26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Chief Legal Officer and Secretary</w:t>
      </w:r>
    </w:p>
    <w:p>
      <w:pPr>
        <w:pStyle w:val="Normal"/>
        <w:framePr w:w="721" w:hAnchor="page" w:vAnchor="page" w:x="6192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</w:t>
      </w:r>
    </w:p>
    <w:p>
      <w:pPr>
        <w:pStyle w:val="Normal"/>
        <w:framePr w:w="2553" w:hAnchor="page" w:vAnchor="page" w:x="6887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</w:t>
      </w:r>
    </w:p>
    <w:p>
      <w:pPr>
        <w:pStyle w:val="Normal"/>
        <w:framePr w:w="2079" w:hAnchor="page" w:vAnchor="page" w:x="276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Dated: May 4, 2022</w:t>
      </w:r>
    </w:p>
    <w:p>
      <w:pPr>
        <w:pStyle w:val="Normal"/>
        <w:framePr w:w="2390" w:hAnchor="page" w:vAnchor="page" w:x="6192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   Victoria Lazar</w:t>
      </w:r>
    </w:p>
    <w:p>
      <w:pPr>
        <w:pStyle w:val="Normal"/>
        <w:framePr w:w="562" w:hAnchor="page" w:vAnchor="page" w:x="6192" w:y="1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1833" w:hAnchor="page" w:vAnchor="page" w:x="6887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Victoria Lazar</w:t>
      </w:r>
    </w:p>
    <w:p>
      <w:pPr>
        <w:pStyle w:val="Normal"/>
        <w:framePr w:w="1897" w:hAnchor="page" w:vAnchor="page" w:x="6192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3787" w:hAnchor="page" w:vAnchor="page" w:x="276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 hereunto duly authorized.</w:t>
      </w:r>
    </w:p>
    <w:p>
      <w:pPr>
        <w:pStyle w:val="Normal"/>
        <w:framePr w:w="1343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5558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pt;margin-top:1pt;z-index:-1677713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8pt;margin-top:1pt;z-index:-167771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3.9pt;z-index:-167771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7.95pt;margin-top:1pt;z-index:-16777120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8pt;margin-top:1pt;z-index:-16777116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43.35pt;margin-top:104.45pt;z-index:-16777112;width:2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p>
      <w:pPr>
        <w:pStyle w:val="Normal"/>
        <w:framePr w:w="344" w:hAnchor="page" w:vAnchor="page" w:x="6130" w:y="10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2875" w:hAnchor="page" w:vAnchor="page" w:x="276" w:y="99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defined in the Statement):</w:t>
      </w:r>
    </w:p>
    <w:p>
      <w:pPr>
        <w:pStyle w:val="Normal"/>
        <w:framePr w:w="14235" w:hAnchor="page" w:vAnchor="page" w:x="276" w:y="97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of an amount of money sufficient to pay for all Notes validly tendered and accepted pursuant to the Tender Offer and Consent Solicitation (each</w:t>
      </w:r>
    </w:p>
    <w:p>
      <w:pPr>
        <w:pStyle w:val="Normal"/>
        <w:framePr w:w="13449" w:hAnchor="page" w:vAnchor="page" w:x="748" w:y="95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2.01    Amendments to the Indenture. Effective at the time of payment or deposit with The Depository Trust Company (the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Payment</w:t>
      </w:r>
    </w:p>
    <w:p>
      <w:pPr>
        <w:pStyle w:val="Normal"/>
        <w:framePr w:w="3506" w:hAnchor="page" w:vAnchor="page" w:x="4812" w:y="90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AMENDMENTS AND WAIVERS</w:t>
      </w:r>
    </w:p>
    <w:p>
      <w:pPr>
        <w:pStyle w:val="Normal"/>
        <w:framePr w:w="1461" w:hAnchor="page" w:vAnchor="page" w:x="5664" w:y="88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 II.</w:t>
      </w:r>
    </w:p>
    <w:p>
      <w:pPr>
        <w:pStyle w:val="Normal"/>
        <w:framePr w:w="1172" w:hAnchor="page" w:vAnchor="page" w:x="276" w:y="83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Indenture.</w:t>
      </w:r>
    </w:p>
    <w:p>
      <w:pPr>
        <w:pStyle w:val="Normal"/>
        <w:framePr w:w="13155" w:hAnchor="page" w:vAnchor="page" w:x="748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1.01    Amendments to the Indenture. Capitalized terms used herein but not defined shall have the meanings assigned to them in the</w:t>
      </w:r>
    </w:p>
    <w:p>
      <w:pPr>
        <w:pStyle w:val="Normal"/>
        <w:framePr w:w="2542" w:hAnchor="page" w:vAnchor="page" w:x="5214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CAPITALIZED TERMS</w:t>
      </w:r>
    </w:p>
    <w:p>
      <w:pPr>
        <w:pStyle w:val="Normal"/>
        <w:framePr w:w="1384" w:hAnchor="page" w:vAnchor="page" w:x="5696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 I.</w:t>
      </w:r>
    </w:p>
    <w:p>
      <w:pPr>
        <w:pStyle w:val="Normal"/>
        <w:framePr w:w="12914" w:hAnchor="page" w:vAnchor="page" w:x="276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hereby acknowledged, the Issuer and the Trustee mutually covenant and agree for the equal and ratable benefit of the Holders as follows:</w:t>
      </w:r>
    </w:p>
    <w:p>
      <w:pPr>
        <w:pStyle w:val="Normal"/>
        <w:framePr w:w="13316" w:hAnchor="page" w:vAnchor="page" w:x="748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NOW, THEREFORE, in consideration of the foregoing and for other good and valuable consideration, the receipt and sufficiency of which is</w:t>
      </w:r>
    </w:p>
    <w:p>
      <w:pPr>
        <w:pStyle w:val="Normal"/>
        <w:framePr w:w="13797" w:hAnchor="page" w:vAnchor="page" w:x="748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WHEREAS, the Board of Directors of the Issuer have authorized and approved the execution and delivery of this Second Supplemental Indenture.</w:t>
      </w:r>
    </w:p>
    <w:p>
      <w:pPr>
        <w:pStyle w:val="Normal"/>
        <w:framePr w:w="6158" w:hAnchor="page" w:vAnchor="page" w:x="276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Amendments (as defined in the Statement) to the Indenture; and</w:t>
      </w:r>
    </w:p>
    <w:p>
      <w:pPr>
        <w:pStyle w:val="Normal"/>
        <w:framePr w:w="14016" w:hAnchor="page" w:vAnchor="page" w:x="276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receipt of consents from Holders representing more than a majority in aggregate principal amount of the Notes outstanding to adopt the Proposed</w:t>
      </w:r>
    </w:p>
    <w:p>
      <w:pPr>
        <w:pStyle w:val="Normal"/>
        <w:framePr w:w="14138" w:hAnchor="page" w:vAnchor="page" w:x="276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 in connection with the Offer to Purchase and Consent Solicitation Statement of the Issuer, dated as of April 20, 2022, (the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Statement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and</w:t>
      </w:r>
    </w:p>
    <w:p>
      <w:pPr>
        <w:pStyle w:val="Normal"/>
        <w:framePr w:w="13354" w:hAnchor="page" w:vAnchor="page" w:x="748" w:y="51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,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Issuer is undertaking to execute and deliver this Second Supplemental Indenture to amend certain terms and covenants in the</w:t>
      </w:r>
    </w:p>
    <w:p>
      <w:pPr>
        <w:pStyle w:val="Normal"/>
        <w:framePr w:w="12892" w:hAnchor="page" w:vAnchor="page" w:x="276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 or the Notes with the consent of the Holders of at least a majority in aggregate principal amount of the Notes then outstanding;</w:t>
      </w:r>
    </w:p>
    <w:p>
      <w:pPr>
        <w:pStyle w:val="Normal"/>
        <w:framePr w:w="13446" w:hAnchor="page" w:vAnchor="page" w:x="748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,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9.2 of the Indenture provides that, subject to certain conditions, the Issuer, the Guarantors and the Trustee may amend the</w:t>
      </w:r>
    </w:p>
    <w:p>
      <w:pPr>
        <w:pStyle w:val="Normal"/>
        <w:framePr w:w="5001" w:hAnchor="page" w:vAnchor="page" w:x="276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new guarantees of the Guarantors listed therein;</w:t>
      </w:r>
    </w:p>
    <w:p>
      <w:pPr>
        <w:pStyle w:val="Normal"/>
        <w:framePr w:w="14297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Indenture, dated as of February 16, 2021 (as amended, supplemented, waived or otherwise modified, 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First Supplemental Indenture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providing for</w:t>
      </w:r>
    </w:p>
    <w:p>
      <w:pPr>
        <w:pStyle w:val="Normal"/>
        <w:framePr w:w="13271" w:hAnchor="page" w:vAnchor="page" w:x="748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WHEREAS, the Issuer, the New Guarantors (as defined therein) and the Trustee have heretofore executed and delivered a first Supplemental</w:t>
      </w:r>
    </w:p>
    <w:p>
      <w:pPr>
        <w:pStyle w:val="Normal"/>
        <w:framePr w:w="7296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principal amount 6.500% Senior Notes due 2026 of the Issuer (the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Notes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”);</w:t>
      </w:r>
    </w:p>
    <w:p>
      <w:pPr>
        <w:pStyle w:val="Normal"/>
        <w:framePr w:w="13904" w:hAnchor="page" w:vAnchor="page" w:x="276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January 29, 2021 (as amended, supplemented, waived or otherwise modified, 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Indenture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providing for the issuance of an unlimited aggregate</w:t>
      </w:r>
    </w:p>
    <w:p>
      <w:pPr>
        <w:pStyle w:val="Normal"/>
        <w:framePr w:w="13791" w:hAnchor="page" w:vAnchor="page" w:x="748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WHEREAS, the Issuer, the initial Guarantors (as defined therein) and the Trustee have heretofore executed and delivered an Indenture, dated as of</w:t>
      </w:r>
    </w:p>
    <w:p>
      <w:pPr>
        <w:pStyle w:val="Normal"/>
        <w:framePr w:w="2369" w:hAnchor="page" w:vAnchor="page" w:x="5286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 I T N E S S E T H:</w:t>
      </w:r>
    </w:p>
    <w:p>
      <w:pPr>
        <w:pStyle w:val="Normal"/>
        <w:framePr w:w="11921" w:hAnchor="page" w:vAnchor="page" w:x="276" w:y="1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Bank National Association), as trustee (the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Trustee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paying agent and registrar under the Indenture (as defined below).</w:t>
      </w:r>
    </w:p>
    <w:p>
      <w:pPr>
        <w:pStyle w:val="Normal"/>
        <w:framePr w:w="13932" w:hAnchor="page" w:vAnchor="page" w:x="276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incorporated under the laws of England and Wales (the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U.S. Bank Trust Company National Association (successor in interest to</w:t>
      </w:r>
    </w:p>
    <w:p>
      <w:pPr>
        <w:pStyle w:val="Normal"/>
        <w:framePr w:w="13647" w:hAnchor="page" w:vAnchor="page" w:x="748" w:y="1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second Supplemental Indenture (this “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Second Supplemental Indenture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dated as of May 4, 2022, among TechnipFMC plc, a public limited</w:t>
      </w:r>
    </w:p>
    <w:p>
      <w:pPr>
        <w:pStyle w:val="Normal"/>
        <w:framePr w:w="3560" w:hAnchor="page" w:vAnchor="page" w:x="4790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SUPPLEMENTAL INDENTURE</w:t>
      </w:r>
    </w:p>
    <w:p>
      <w:pPr>
        <w:pStyle w:val="Normal"/>
        <w:framePr w:w="1308" w:hAnchor="page" w:vAnchor="page" w:x="11180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4.1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pt;margin-top:1pt;z-index:-167771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94.2pt;margin-top:415.45pt;z-index:-16777104;width:11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94.2pt;margin-top:484.9pt;z-index:-16777100;width:11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43pt;margin-top:484.9pt;z-index:-16777096;width: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547.3pt;margin-top:484.9pt;z-index:-16777092;width:3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2.8pt;margin-top:496.45pt;z-index:-16777088;width:20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31.5pt;margin-top:496.45pt;z-index:-16777084;width: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p>
      <w:pPr>
        <w:pStyle w:val="Normal"/>
        <w:framePr w:w="344" w:hAnchor="page" w:vAnchor="page" w:x="6130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7854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provisions from the Notes shall be deemed deleted or amended as applicable.</w:t>
      </w:r>
    </w:p>
    <w:p>
      <w:pPr>
        <w:pStyle w:val="Normal"/>
        <w:framePr w:w="13517" w:hAnchor="page" w:vAnchor="page" w:x="74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   The Notes include certain of the foregoing provisions from the Indenture. Upon the operative date of this Second Supplemental Indenture,</w:t>
      </w:r>
    </w:p>
    <w:p>
      <w:pPr>
        <w:pStyle w:val="Normal"/>
        <w:framePr w:w="1423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prevail.</w:t>
      </w:r>
    </w:p>
    <w:p>
      <w:pPr>
        <w:pStyle w:val="Normal"/>
        <w:framePr w:w="13985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Indenture and the terms and conditions of this Second Supplemental Indenture, then the terms and conditions of this Second Supplemental Indenture</w:t>
      </w:r>
    </w:p>
    <w:p>
      <w:pPr>
        <w:pStyle w:val="Normal"/>
        <w:framePr w:w="14057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Notes heretofore or hereafter authenticated and delivered shall be bound hereby. In the event of a conflict between the terms and conditions of the</w:t>
      </w:r>
    </w:p>
    <w:p>
      <w:pPr>
        <w:pStyle w:val="Normal"/>
        <w:framePr w:w="14326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 shall remain in full force and effect. This Second Supplemental Indenture shall form a part of the Indenture for all purposes, and every Holder of</w:t>
      </w:r>
    </w:p>
    <w:p>
      <w:pPr>
        <w:pStyle w:val="Normal"/>
        <w:framePr w:w="13654" w:hAnchor="page" w:vAnchor="page" w:x="74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   Except as expressly supplemented hereby, the Indenture is in all respects ratified and confirmed and all the terms, conditions and provisions</w:t>
      </w:r>
    </w:p>
    <w:p>
      <w:pPr>
        <w:pStyle w:val="Normal"/>
        <w:framePr w:w="3961" w:hAnchor="page" w:vAnchor="page" w:x="74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3.01    Ratification of Indenture.</w:t>
      </w:r>
    </w:p>
    <w:p>
      <w:pPr>
        <w:pStyle w:val="Normal"/>
        <w:framePr w:w="2156" w:hAnchor="page" w:vAnchor="page" w:x="537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MISCELLANEOUS</w:t>
      </w:r>
    </w:p>
    <w:p>
      <w:pPr>
        <w:pStyle w:val="Normal"/>
        <w:framePr w:w="1538" w:hAnchor="page" w:vAnchor="page" w:x="5632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 III.</w:t>
      </w:r>
    </w:p>
    <w:p>
      <w:pPr>
        <w:pStyle w:val="Normal"/>
        <w:framePr w:w="13560" w:hAnchor="page" w:vAnchor="page" w:x="74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    All references to Sections 6.1 and 8.4 of the Indenture shall mean Sections 6.1 and 8.4 as amended by this Second Supplemental Indenture.</w:t>
      </w:r>
    </w:p>
    <w:p>
      <w:pPr>
        <w:pStyle w:val="Normal"/>
        <w:framePr w:w="6138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Supplemental Indenture are hereby deleted in their entirety; and</w:t>
      </w:r>
    </w:p>
    <w:p>
      <w:pPr>
        <w:pStyle w:val="Normal"/>
        <w:framePr w:w="12558" w:hAnchor="page" w:vAnchor="page" w:x="74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    All definitions set forth in Section 1.1 of the Indenture that relate to defined terms used solely in sections deleted by this Second</w:t>
      </w:r>
    </w:p>
    <w:p>
      <w:pPr>
        <w:pStyle w:val="Normal"/>
        <w:framePr w:w="8618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references thereto contained in Section 8.4 and elsewhere in the Indenture in their entirety;</w:t>
      </w:r>
    </w:p>
    <w:p>
      <w:pPr>
        <w:pStyle w:val="Normal"/>
        <w:framePr w:w="13684" w:hAnchor="page" w:vAnchor="page" w:x="74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    The Indenture is hereby amended to delete paragraph (4) of Section 8.4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Conditions to Legal or Covenant Defeasance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in its entirety and all</w:t>
      </w:r>
    </w:p>
    <w:p>
      <w:pPr>
        <w:pStyle w:val="Normal"/>
        <w:framePr w:w="7867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(4), (5), (6), (7) and (8) of Section 6.1 shall no longer constitute Events of Default;</w:t>
      </w:r>
    </w:p>
    <w:p>
      <w:pPr>
        <w:pStyle w:val="Normal"/>
        <w:framePr w:w="14282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references thereto contained in Section 6.1 and elsewhere in the Indenture in their entirety, and the occurrence of the events described in paragraphs (3),</w:t>
      </w:r>
    </w:p>
    <w:p>
      <w:pPr>
        <w:pStyle w:val="Normal"/>
        <w:framePr w:w="13651" w:hAnchor="page" w:vAnchor="page" w:x="74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   The Indenture is hereby amended to delete paragraphs (3), (4), (5), (6), (7) and (8) of Section 6.1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Events of Default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in their entirety and all</w:t>
      </w:r>
    </w:p>
    <w:p>
      <w:pPr>
        <w:pStyle w:val="Normal"/>
        <w:framePr w:w="10584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an Event of Default under the Indenture and shall no longer have any other consequence under the Indenture;</w:t>
      </w:r>
    </w:p>
    <w:p>
      <w:pPr>
        <w:pStyle w:val="Normal"/>
        <w:framePr w:w="13613" w:hAnchor="page" w:vAnchor="page" w:x="74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   The failure to comply with the terms of any of the Sections of the Indenture set forth in clause (i) above shall no longer constitute a Default</w:t>
      </w:r>
    </w:p>
    <w:p>
      <w:pPr>
        <w:pStyle w:val="Normal"/>
        <w:framePr w:w="1081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4.19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Maintenance of Listing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and Section 5.1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Consolidation, Merger, Conveyance, Transfer or Lease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);</w:t>
      </w:r>
    </w:p>
    <w:p>
      <w:pPr>
        <w:pStyle w:val="Normal"/>
        <w:framePr w:w="14318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4.15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Additional Guarantees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4.16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Designation of Unrestricted Subsidiaries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4.17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Effectiveness of Covenants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</w:t>
      </w:r>
    </w:p>
    <w:p>
      <w:pPr>
        <w:pStyle w:val="Normal"/>
        <w:framePr w:w="13931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4.12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Liens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4.13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Offer to Purchase upon Change of Control Triggering Event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4.14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Corporate Existence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</w:t>
      </w:r>
    </w:p>
    <w:p>
      <w:pPr>
        <w:pStyle w:val="Normal"/>
        <w:framePr w:w="1425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4.9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Additional Indebtedness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4.10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Asset Sales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4.11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Transactions with Affiliates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</w:t>
      </w:r>
    </w:p>
    <w:p>
      <w:pPr>
        <w:pStyle w:val="Normal"/>
        <w:framePr w:w="1373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4.7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Restricted Payments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4.8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Limitation on Dividend and Other Restrictions Affecting Restricted Subsidiaries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</w:t>
      </w:r>
    </w:p>
    <w:p>
      <w:pPr>
        <w:pStyle w:val="Normal"/>
        <w:framePr w:w="12809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   The Indenture is hereby amended to delete Section 4.3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Provision of Financial Information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Section 4.4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Compliance Certificate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pt;margin-top:1pt;z-index:-167770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2.8pt;margin-top:1pt;z-index:-167770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2.45pt;z-index:-167770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597.95pt;margin-top:1pt;z-index:-167770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1pt;z-index:-167770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94.2pt;margin-top:307.7pt;z-index:-16777060;width:97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</w:p>
    <w:p>
      <w:pPr>
        <w:pStyle w:val="Normal"/>
        <w:framePr w:w="344" w:hAnchor="page" w:vAnchor="page" w:x="6130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4365" w:hAnchor="page" w:vAnchor="page" w:x="44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[Remainder of page intentionally left blank.]</w:t>
      </w:r>
    </w:p>
    <w:p>
      <w:pPr>
        <w:pStyle w:val="Normal"/>
        <w:framePr w:w="12548" w:hAnchor="page" w:vAnchor="page" w:x="74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3.05    Effect of Headings. The section headings herein are for convenience only and shall not affect the construction thereof.</w:t>
      </w:r>
    </w:p>
    <w:p>
      <w:pPr>
        <w:pStyle w:val="Normal"/>
        <w:framePr w:w="6093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original, but all of them together represent the same agreement.</w:t>
      </w:r>
    </w:p>
    <w:p>
      <w:pPr>
        <w:pStyle w:val="Normal"/>
        <w:framePr w:w="13368" w:hAnchor="page" w:vAnchor="page" w:x="74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3.04    Counterparts. The parties may sign any number of copies of this Second Supplemental Indenture. Each signed copy shall be an</w:t>
      </w:r>
    </w:p>
    <w:p>
      <w:pPr>
        <w:pStyle w:val="Normal"/>
        <w:framePr w:w="3241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Second Supplemental Indenture.</w:t>
      </w:r>
    </w:p>
    <w:p>
      <w:pPr>
        <w:pStyle w:val="Normal"/>
        <w:framePr w:w="13668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deemed incorporated herein by this reference and shall be deemed applicable to all actions taken, suffered or omitted by the Trustee under this</w:t>
      </w:r>
    </w:p>
    <w:p>
      <w:pPr>
        <w:pStyle w:val="Normal"/>
        <w:framePr w:w="14363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connection herewith or therewith. All rights, protections, privileges, indemnities and benefits granted or afforded to the Trustee under the Indenture shall</w:t>
      </w:r>
    </w:p>
    <w:p>
      <w:pPr>
        <w:pStyle w:val="Normal"/>
        <w:framePr w:w="13816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recital in any offers to purchase or solicitations made by Issuer, or in any Officers’ Certificate delivered to the Trustee, or any other document in</w:t>
      </w:r>
    </w:p>
    <w:p>
      <w:pPr>
        <w:pStyle w:val="Normal"/>
        <w:framePr w:w="14185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sufficiency of this Second Supplemental Indenture and it shall not be responsible for the correctness of any statement or recital herein or any statement</w:t>
      </w:r>
    </w:p>
    <w:p>
      <w:pPr>
        <w:pStyle w:val="Normal"/>
        <w:framePr w:w="13624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effectiveness of the Second Supplemental Indenture have been met or waived. The Trustee does not make any representation as to the validity or</w:t>
      </w:r>
    </w:p>
    <w:p>
      <w:pPr>
        <w:pStyle w:val="Normal"/>
        <w:framePr w:w="13673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liability for, determining if this Second Supplemental Indenture is authorized or permitted by this Indenture or that all conditions precedent to the</w:t>
      </w:r>
    </w:p>
    <w:p>
      <w:pPr>
        <w:pStyle w:val="Normal"/>
        <w:framePr w:w="13691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assumes no responsibility for the correctness of the same. The Trustee shall not be responsible for, makes no representation as to, and assumes no</w:t>
      </w:r>
    </w:p>
    <w:p>
      <w:pPr>
        <w:pStyle w:val="Normal"/>
        <w:framePr w:w="13008" w:hAnchor="page" w:vAnchor="page" w:x="74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3.03    Trustee Makes No Representation. The recitals contained herein are those of the Issuer and not the Trustee, and the Trustee</w:t>
      </w:r>
    </w:p>
    <w:p>
      <w:pPr>
        <w:pStyle w:val="Normal"/>
        <w:framePr w:w="9782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so, any objection which it may now or hereafter have to the laying of venue of any such proceeding.</w:t>
      </w:r>
    </w:p>
    <w:p>
      <w:pPr>
        <w:pStyle w:val="Normal"/>
        <w:framePr w:w="14162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U.S. federal or state court located in the State and City of New York, Borough of Manhattan and (ii) waives, to the fullest extent it may effectively</w:t>
      </w:r>
    </w:p>
    <w:p>
      <w:pPr>
        <w:pStyle w:val="Normal"/>
        <w:framePr w:w="14239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Supplemental Indenture or the transactions contemplated thereby, and any action arising under U.S. federal or state securities laws, may be instituted in</w:t>
      </w:r>
    </w:p>
    <w:p>
      <w:pPr>
        <w:pStyle w:val="Normal"/>
        <w:framePr w:w="13328" w:hAnchor="page" w:vAnchor="page" w:x="74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of the parties hereto irrevocably (i) agrees that any suit, action or proceeding arising out of, related to, or in connection with this Second</w:t>
      </w:r>
    </w:p>
    <w:p>
      <w:pPr>
        <w:pStyle w:val="Normal"/>
        <w:framePr w:w="1880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NEW YORK.</w:t>
      </w:r>
    </w:p>
    <w:p>
      <w:pPr>
        <w:pStyle w:val="Normal"/>
        <w:framePr w:w="13635" w:hAnchor="page" w:vAnchor="page" w:x="74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SECOND SUPPLEMENTAL INDENTURE SHALL BE GOVERNED BY AND CONSTRUED IN ACCORDANCE WITH THE LAWS</w:t>
      </w:r>
    </w:p>
    <w:p>
      <w:pPr>
        <w:pStyle w:val="Normal"/>
        <w:framePr w:w="4661" w:hAnchor="page" w:vAnchor="page" w:x="74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3.02    Governing Law and Jurisdiction.</w:t>
      </w:r>
    </w:p>
    <w:p>
      <w:pPr>
        <w:pStyle w:val="Normal"/>
        <w:framePr w:w="10560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Holders who have validly delivered and not validly revoked consents pursuant to the terms of the Statement.</w:t>
      </w:r>
    </w:p>
    <w:p>
      <w:pPr>
        <w:pStyle w:val="Normal"/>
        <w:framePr w:w="14390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date upon which the Issuer pays the Early Tender Premium or Tender Offer Consideration, as applicable (as such term is defined in the Statement) to</w:t>
      </w:r>
    </w:p>
    <w:p>
      <w:pPr>
        <w:pStyle w:val="Normal"/>
        <w:framePr w:w="13496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   Notwithstanding an earlier execution date, the provisions of this Second Supplemental Indenture shall not become operative until the time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pt;margin-top:1pt;z-index:-167770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1pt;z-index:-167770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.8pt;margin-top:2.45pt;z-index:-167770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7.95pt;margin-top:1pt;z-index:-167770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pt;z-index:-167770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94.2pt;margin-top:64.65pt;z-index:-16777036;width:12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94.2pt;margin-top:180.4pt;z-index:-16777032;width:13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94.2pt;margin-top:296.1pt;z-index:-16777028;width:5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4.2pt;margin-top:330.85pt;z-index:-16777024;width:7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</w:p>
    <w:p>
      <w:pPr>
        <w:pStyle w:val="Normal"/>
        <w:framePr w:w="5036" w:hAnchor="page" w:vAnchor="page" w:x="4175" w:y="4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Signature Page to Second Supplemental Indenture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</w:t>
      </w:r>
    </w:p>
    <w:p>
      <w:pPr>
        <w:pStyle w:val="Normal"/>
        <w:framePr w:w="2316" w:hAnchor="page" w:vAnchor="page" w:x="7364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    Vice President</w:t>
      </w:r>
    </w:p>
    <w:p>
      <w:pPr>
        <w:pStyle w:val="Normal"/>
        <w:framePr w:w="3007" w:hAnchor="page" w:vAnchor="page" w:x="7364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 Michael K. Herberger</w:t>
      </w:r>
    </w:p>
    <w:p>
      <w:pPr>
        <w:pStyle w:val="Normal"/>
        <w:framePr w:w="562" w:hAnchor="page" w:vAnchor="page" w:x="7364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2645" w:hAnchor="page" w:vAnchor="page" w:x="7928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/S/ Michael K. Herberger</w:t>
      </w:r>
    </w:p>
    <w:p>
      <w:pPr>
        <w:pStyle w:val="Normal"/>
        <w:framePr w:w="1164" w:hAnchor="page" w:vAnchor="page" w:x="7364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Trustee</w:t>
      </w:r>
    </w:p>
    <w:p>
      <w:pPr>
        <w:pStyle w:val="Normal"/>
        <w:framePr w:w="1889" w:hAnchor="page" w:vAnchor="page" w:x="7364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ASSOCIATION,</w:t>
      </w:r>
    </w:p>
    <w:p>
      <w:pPr>
        <w:pStyle w:val="Normal"/>
        <w:framePr w:w="4768" w:hAnchor="page" w:vAnchor="page" w:x="7364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U.S. BANK TRUST COMPANY, NATIONAL</w:t>
      </w:r>
    </w:p>
    <w:p>
      <w:pPr>
        <w:pStyle w:val="Normal"/>
        <w:framePr w:w="3644" w:hAnchor="page" w:vAnchor="page" w:x="7364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    Vice President and Treasurer</w:t>
      </w:r>
    </w:p>
    <w:p>
      <w:pPr>
        <w:pStyle w:val="Normal"/>
        <w:framePr w:w="2497" w:hAnchor="page" w:vAnchor="page" w:x="7364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 Fred Schacknies</w:t>
      </w:r>
    </w:p>
    <w:p>
      <w:pPr>
        <w:pStyle w:val="Normal"/>
        <w:framePr w:w="562" w:hAnchor="page" w:vAnchor="page" w:x="7364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2135" w:hAnchor="page" w:vAnchor="page" w:x="7928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/S/ Fred Schacknies</w:t>
      </w:r>
    </w:p>
    <w:p>
      <w:pPr>
        <w:pStyle w:val="Normal"/>
        <w:framePr w:w="1031" w:hAnchor="page" w:vAnchor="page" w:x="736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Issuer</w:t>
      </w:r>
    </w:p>
    <w:p>
      <w:pPr>
        <w:pStyle w:val="Normal"/>
        <w:framePr w:w="2387" w:hAnchor="page" w:vAnchor="page" w:x="736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PLC,</w:t>
      </w:r>
    </w:p>
    <w:p>
      <w:pPr>
        <w:pStyle w:val="Normal"/>
        <w:framePr w:w="838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above.</w:t>
      </w:r>
    </w:p>
    <w:p>
      <w:pPr>
        <w:pStyle w:val="Normal"/>
        <w:framePr w:w="13278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WITNESS WHEREOF, the parties hereto have caused this Second Supplemental Indenture to be duly executed as of the date first written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7pt;margin-top:1pt;z-index:-16777020;width:598pt;height:243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1pt;z-index:-167770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2.8pt;margin-top:2.45pt;z-index:-167770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597.95pt;margin-top:1pt;z-index:-167770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1pt;z-index:-167770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98.3pt;margin-top:92.15pt;z-index:-16777000;width:20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98.3pt;margin-top:186.9pt;z-index:-16776996;width:20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sectPr>
      <w:pgSz w:w="12240" w:h="20160"/>
      <w:pgMar w:top="400" w:right="400" w:bottom="400" w:left="400" w:header="720" w:footer="720"/>
      <w:pgNumType w:start="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styles.xml" Type="http://schemas.openxmlformats.org/officeDocument/2006/relationships/styles"/><Relationship Id="rId57" Target="fontTable.xml" Type="http://schemas.openxmlformats.org/officeDocument/2006/relationships/fontTable"/><Relationship Id="rId58" Target="settings.xml" Type="http://schemas.openxmlformats.org/officeDocument/2006/relationships/settings"/><Relationship Id="rId59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7</Pages>
  <Words>2039</Words>
  <Characters>10965</Characters>
  <Application>e-iceblue</Application>
  <DocSecurity>0</DocSecurity>
  <Lines>189</Lines>
  <Paragraphs>189</Paragraphs>
  <ScaleCrop>false</ScaleCrop>
  <Company>e-iceblue</Company>
  <LinksUpToDate>false</LinksUpToDate>
  <CharactersWithSpaces>12833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2022-05-10T21:15:11Z</dcterms:created>
  <dc:creator>root</dc:creator>
  <cp:lastModifiedBy>root</cp:lastModifiedBy>
  <dcterms:modified xsi:type="dcterms:W3CDTF">2022-05-10T21:15:11Z</dcterms:modified>
  <cp:revision>1</cp:revision>
</cp:coreProperties>
</file>