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435" w:hAnchor="page" w:vAnchor="page" w:x="276" w:y="1097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9721" w:hAnchor="page" w:vAnchor="page" w:x="739" w:y="10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Fee computed on table in exhibit required by Item 25(b) per Exchange Act Rules 14a-6(i)(1) and 0-11.</w:t>
      </w:r>
    </w:p>
    <w:p>
      <w:pPr>
        <w:pStyle w:val="Normal"/>
        <w:framePr w:w="435" w:hAnchor="page" w:vAnchor="page" w:x="276" w:y="1047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4623" w:hAnchor="page" w:vAnchor="page" w:x="739" w:y="104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Fee paid previously with preliminary materials.</w:t>
      </w:r>
    </w:p>
    <w:p>
      <w:pPr>
        <w:pStyle w:val="Normal"/>
        <w:framePr w:w="435" w:hAnchor="page" w:vAnchor="page" w:x="276" w:y="998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☒</w:t>
      </w:r>
    </w:p>
    <w:p>
      <w:pPr>
        <w:pStyle w:val="Normal"/>
        <w:framePr w:w="1738" w:hAnchor="page" w:vAnchor="page" w:x="739" w:y="99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 fee required.</w:t>
      </w:r>
    </w:p>
    <w:p>
      <w:pPr>
        <w:pStyle w:val="Normal"/>
        <w:framePr w:w="5015" w:hAnchor="page" w:vAnchor="page" w:x="276" w:y="95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of Filing Fee (Check the appropriate box):</w:t>
      </w:r>
    </w:p>
    <w:p>
      <w:pPr>
        <w:pStyle w:val="Normal"/>
        <w:framePr w:w="7350" w:hAnchor="page" w:vAnchor="page" w:x="3211" w:y="90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(Name of Person(s) Filing Proxy Statement, if other than the Registrant)</w:t>
      </w:r>
    </w:p>
    <w:p>
      <w:pPr>
        <w:pStyle w:val="Normal"/>
        <w:framePr w:w="4951" w:hAnchor="page" w:vAnchor="page" w:x="4210" w:y="85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(Name of Registrant as Specified in Its Charter)</w:t>
      </w:r>
    </w:p>
    <w:p>
      <w:pPr>
        <w:pStyle w:val="Normal"/>
        <w:framePr w:w="5131" w:hAnchor="page" w:vAnchor="page" w:x="4076" w:y="8047"/>
        <w:widowControl w:val="off"/>
        <w:autoSpaceDE w:val="off"/>
        <w:autoSpaceDN w:val="off"/>
        <w:spacing w:before="0" w:after="0" w:line="5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6"/>
          <w:szCs w:val="4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6"/>
          <w:szCs w:val="46"/>
        </w:rPr>
        <w:t>TECHNIPFMC PLC</w:t>
      </w:r>
    </w:p>
    <w:p>
      <w:pPr>
        <w:pStyle w:val="Normal"/>
        <w:framePr w:w="435" w:hAnchor="page" w:vAnchor="page" w:x="276" w:y="757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4270" w:hAnchor="page" w:vAnchor="page" w:x="739" w:y="75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Soliciting Material Pursuant to Rule 14a-12</w:t>
      </w:r>
    </w:p>
    <w:p>
      <w:pPr>
        <w:pStyle w:val="Normal"/>
        <w:framePr w:w="435" w:hAnchor="page" w:vAnchor="page" w:x="276" w:y="708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☒</w:t>
      </w:r>
    </w:p>
    <w:p>
      <w:pPr>
        <w:pStyle w:val="Normal"/>
        <w:framePr w:w="3145" w:hAnchor="page" w:vAnchor="page" w:x="739" w:y="70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Definitive Additional Materials</w:t>
      </w:r>
    </w:p>
    <w:p>
      <w:pPr>
        <w:pStyle w:val="Normal"/>
        <w:framePr w:w="435" w:hAnchor="page" w:vAnchor="page" w:x="276" w:y="658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2760" w:hAnchor="page" w:vAnchor="page" w:x="739" w:y="65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Definitive Proxy Statement</w:t>
      </w:r>
    </w:p>
    <w:p>
      <w:pPr>
        <w:pStyle w:val="Normal"/>
        <w:framePr w:w="435" w:hAnchor="page" w:vAnchor="page" w:x="276" w:y="609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8132" w:hAnchor="page" w:vAnchor="page" w:x="739" w:y="61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Confidential, for Use of the Commission Only (as permitted by Rule 14a-6(e)(2))</w:t>
      </w:r>
    </w:p>
    <w:p>
      <w:pPr>
        <w:pStyle w:val="Normal"/>
        <w:framePr w:w="435" w:hAnchor="page" w:vAnchor="page" w:x="276" w:y="560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2914" w:hAnchor="page" w:vAnchor="page" w:x="739" w:y="56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Preliminary Proxy Statement</w:t>
      </w:r>
    </w:p>
    <w:p>
      <w:pPr>
        <w:pStyle w:val="Normal"/>
        <w:framePr w:w="2740" w:hAnchor="page" w:vAnchor="page" w:x="276" w:y="51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Check the appropriate box:</w:t>
      </w:r>
    </w:p>
    <w:p>
      <w:pPr>
        <w:pStyle w:val="Normal"/>
        <w:framePr w:w="4361" w:hAnchor="page" w:vAnchor="page" w:x="276" w:y="441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Filed by a Party other than the Registrant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2665" w:hAnchor="page" w:vAnchor="page" w:x="276" w:y="395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Filed by the Registrant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☒</w:t>
      </w:r>
    </w:p>
    <w:p>
      <w:pPr>
        <w:pStyle w:val="Normal"/>
        <w:framePr w:w="2522" w:hAnchor="page" w:vAnchor="page" w:x="5146" w:y="3074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(Amendment No.     )</w:t>
      </w:r>
    </w:p>
    <w:p>
      <w:pPr>
        <w:pStyle w:val="Normal"/>
        <w:framePr w:w="3732" w:hAnchor="page" w:vAnchor="page" w:x="4597" w:y="2814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Securities Exchange Act of 1934</w:t>
      </w:r>
    </w:p>
    <w:p>
      <w:pPr>
        <w:pStyle w:val="Normal"/>
        <w:framePr w:w="5557" w:hAnchor="page" w:vAnchor="page" w:x="3766" w:y="2553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Proxy Statement Pursuant to Section 14(a) of the</w:t>
      </w:r>
    </w:p>
    <w:p>
      <w:pPr>
        <w:pStyle w:val="Normal"/>
        <w:framePr w:w="3239" w:hAnchor="page" w:vAnchor="page" w:x="4880" w:y="2161"/>
        <w:widowControl w:val="off"/>
        <w:autoSpaceDE w:val="off"/>
        <w:autoSpaceDN w:val="off"/>
        <w:spacing w:before="0" w:after="0" w:line="38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  <w:t>SCHEDULE 14A</w:t>
      </w:r>
    </w:p>
    <w:p>
      <w:pPr>
        <w:pStyle w:val="Normal"/>
        <w:framePr w:w="2877" w:hAnchor="page" w:vAnchor="page" w:x="4985" w:y="1266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Washington, D.C. 20549</w:t>
      </w:r>
    </w:p>
    <w:p>
      <w:pPr>
        <w:pStyle w:val="Normal"/>
        <w:framePr w:w="8608" w:hAnchor="page" w:vAnchor="page" w:x="2440" w:y="873"/>
        <w:widowControl w:val="off"/>
        <w:autoSpaceDE w:val="off"/>
        <w:autoSpaceDN w:val="off"/>
        <w:spacing w:before="0" w:after="0" w:line="38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  <w:t>SECURITIES AND EXCHANGE COMMISSION</w:t>
      </w:r>
    </w:p>
    <w:p>
      <w:pPr>
        <w:pStyle w:val="Normal"/>
        <w:framePr w:w="3374" w:hAnchor="page" w:vAnchor="page" w:x="4819" w:y="483"/>
        <w:widowControl w:val="off"/>
        <w:autoSpaceDE w:val="off"/>
        <w:autoSpaceDN w:val="off"/>
        <w:spacing w:before="0" w:after="0" w:line="38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  <w:t>UNITED STATES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2.8pt;margin-top:7.5pt;z-index:-16777208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2.8pt;margin-top:11.15pt;z-index:-16777204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5.7pt;margin-top:95.05pt;z-index:-16777200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5.7pt;margin-top:184.7pt;z-index:-16777196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12.8pt;margin-top:573.15pt;z-index:-16777192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12.8pt;margin-top:576.75pt;z-index:-16777188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</w:p>
    <w:p>
      <w:pPr>
        <w:pStyle w:val="Normal"/>
        <w:framePr w:w="7143" w:hAnchor="page" w:vAnchor="page" w:x="1317" w:y="13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our other executive officers by 20% from May 2020 – December 2020.</w:t>
      </w:r>
    </w:p>
    <w:p>
      <w:pPr>
        <w:pStyle w:val="Normal"/>
        <w:framePr w:w="13015" w:hAnchor="page" w:vAnchor="page" w:x="1317" w:y="13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the COVID-19 pandemic and energy market decline, the Committee reduced the annual base salary for our Chair and CEO by 30% and</w:t>
      </w:r>
    </w:p>
    <w:p>
      <w:pPr>
        <w:pStyle w:val="Normal"/>
        <w:framePr w:w="309" w:hAnchor="page" w:vAnchor="page" w:x="854" w:y="13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3069" w:hAnchor="page" w:vAnchor="page" w:x="1317" w:y="13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Compensation and Talent Committee has demonstrated a history of responding swiftly and decisively to market changes. In 2020, due</w:t>
      </w:r>
    </w:p>
    <w:p>
      <w:pPr>
        <w:pStyle w:val="Normal"/>
        <w:framePr w:w="12876" w:hAnchor="page" w:vAnchor="page" w:x="1317" w:y="129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December 31, 2021 and LTI granted to TechnipFMC executives between 2019 and 2021 is worth 37% less than the original target value.</w:t>
      </w:r>
    </w:p>
    <w:p>
      <w:pPr>
        <w:pStyle w:val="Normal"/>
        <w:framePr w:w="309" w:hAnchor="page" w:vAnchor="page" w:x="854" w:y="127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230" w:hAnchor="page" w:vAnchor="page" w:x="1317" w:y="127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Declines in stock price have a direct impact on the value of long-term incentives. TSR is down 56% between January 1, 2019 and</w:t>
      </w:r>
    </w:p>
    <w:p>
      <w:pPr>
        <w:pStyle w:val="Normal"/>
        <w:framePr w:w="11380" w:hAnchor="page" w:vAnchor="page" w:x="1317" w:y="123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projected to be approximately $3.2 million less than target compensation (or 24% below target) between 2019 and 2021.</w:t>
      </w:r>
    </w:p>
    <w:p>
      <w:pPr>
        <w:pStyle w:val="Normal"/>
        <w:framePr w:w="12742" w:hAnchor="page" w:vAnchor="page" w:x="1317" w:y="121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over the past several years, which directly impacted executive compensation. The CEO’s three-year average realizable compensation is</w:t>
      </w:r>
    </w:p>
    <w:p>
      <w:pPr>
        <w:pStyle w:val="Normal"/>
        <w:framePr w:w="309" w:hAnchor="page" w:vAnchor="page" w:x="854" w:y="118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3020" w:hAnchor="page" w:vAnchor="page" w:x="1317" w:y="118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industry downturn due to the COVID-19 pandemic had a meaningful impact on the Company’s financial and stock price performance</w:t>
      </w:r>
    </w:p>
    <w:p>
      <w:pPr>
        <w:pStyle w:val="Normal"/>
        <w:framePr w:w="2926" w:hAnchor="page" w:vAnchor="page" w:x="1317" w:y="115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peers and market prevalence.</w:t>
      </w:r>
    </w:p>
    <w:p>
      <w:pPr>
        <w:pStyle w:val="Normal"/>
        <w:framePr w:w="309" w:hAnchor="page" w:vAnchor="page" w:x="854" w:y="112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929" w:hAnchor="page" w:vAnchor="page" w:x="1317" w:y="112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70% of our long-term incentive is performance based, which represents a higher weighting of performance-based equity compared to our</w:t>
      </w:r>
    </w:p>
    <w:p>
      <w:pPr>
        <w:pStyle w:val="Normal"/>
        <w:framePr w:w="3523" w:hAnchor="page" w:vAnchor="page" w:x="1317" w:y="109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variable and based on performance.</w:t>
      </w:r>
    </w:p>
    <w:p>
      <w:pPr>
        <w:pStyle w:val="Normal"/>
        <w:framePr w:w="309" w:hAnchor="page" w:vAnchor="page" w:x="854" w:y="106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3098" w:hAnchor="page" w:vAnchor="page" w:x="1317" w:y="106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Most of our executive compensation is variable. For 2021, 90% of the CEO’s compensation and 79% of compensation for other NEOs was</w:t>
      </w:r>
    </w:p>
    <w:p>
      <w:pPr>
        <w:pStyle w:val="Normal"/>
        <w:framePr w:w="6145" w:hAnchor="page" w:vAnchor="page" w:x="276" w:y="103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Our executive compensation program links pay to performance:</w:t>
      </w:r>
    </w:p>
    <w:p>
      <w:pPr>
        <w:pStyle w:val="Normal"/>
        <w:framePr w:w="3543" w:hAnchor="page" w:vAnchor="page" w:x="276" w:y="99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Alignment of Pay to Performance</w:t>
      </w:r>
    </w:p>
    <w:p>
      <w:pPr>
        <w:pStyle w:val="Normal"/>
        <w:framePr w:w="6800" w:hAnchor="page" w:vAnchor="page" w:x="276" w:y="94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between pay and performance in our executive compensation program.</w:t>
      </w:r>
    </w:p>
    <w:p>
      <w:pPr>
        <w:pStyle w:val="Normal"/>
        <w:framePr w:w="14209" w:hAnchor="page" w:vAnchor="page" w:x="276" w:y="91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We would like to provide shareholders with further context on the concerns raised by ISS and reiterate key actions we have taken to strengthen the link</w:t>
      </w:r>
    </w:p>
    <w:p>
      <w:pPr>
        <w:pStyle w:val="Normal"/>
        <w:framePr w:w="5566" w:hAnchor="page" w:vAnchor="page" w:x="1317" w:y="87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2022 by a change to the performance award payout scale)</w:t>
      </w:r>
    </w:p>
    <w:p>
      <w:pPr>
        <w:pStyle w:val="Normal"/>
        <w:framePr w:w="309" w:hAnchor="page" w:vAnchor="page" w:x="854" w:y="84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841" w:hAnchor="page" w:vAnchor="page" w:x="1317" w:y="84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Performance awards may vest at target for achieving below median relative TSR performance. (Note: this concern has been mitigated in</w:t>
      </w:r>
    </w:p>
    <w:p>
      <w:pPr>
        <w:pStyle w:val="Normal"/>
        <w:framePr w:w="309" w:hAnchor="page" w:vAnchor="page" w:x="854" w:y="81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810" w:hAnchor="page" w:vAnchor="page" w:x="1317" w:y="81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removed performance conditions for outstanding 2019 and 2020 performance awards in connection with the spin-off; and</w:t>
      </w:r>
    </w:p>
    <w:p>
      <w:pPr>
        <w:pStyle w:val="Normal"/>
        <w:framePr w:w="6049" w:hAnchor="page" w:vAnchor="page" w:x="276" w:y="775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recommendation was based on concerns on two specific items:</w:t>
      </w:r>
    </w:p>
    <w:p>
      <w:pPr>
        <w:pStyle w:val="Normal"/>
        <w:framePr w:w="14128" w:hAnchor="page" w:vAnchor="page" w:x="276" w:y="75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TechnipFMC’s short- and long-term incentive programs are primarily performance based, and noted the positive features of our program, the ISS vote</w:t>
      </w:r>
    </w:p>
    <w:p>
      <w:pPr>
        <w:pStyle w:val="Normal"/>
        <w:framePr w:w="13054" w:hAnchor="page" w:vAnchor="page" w:x="276" w:y="72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contrast, Institutional Shareholder Services (ISS), recommended an AGAINST vote on Proposal 2 and Proposal 3. While ISS noted that</w:t>
      </w:r>
    </w:p>
    <w:p>
      <w:pPr>
        <w:pStyle w:val="Normal"/>
        <w:framePr w:w="7899" w:hAnchor="page" w:vAnchor="page" w:x="276" w:y="68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plan design. For these reasons, Glass Lewis recommended a FOR say-on-pay vote.</w:t>
      </w:r>
    </w:p>
    <w:p>
      <w:pPr>
        <w:pStyle w:val="Normal"/>
        <w:framePr w:w="14210" w:hAnchor="page" w:vAnchor="page" w:x="276" w:y="65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year in review. Glass Lewis also noted a suitable structure of performance-based awards, include the changes for 2022 in our long-term incentive (LTI)</w:t>
      </w:r>
    </w:p>
    <w:p>
      <w:pPr>
        <w:pStyle w:val="Normal"/>
        <w:framePr w:w="13980" w:hAnchor="page" w:vAnchor="page" w:x="276" w:y="63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Glass Lewis recognized the significant period of change during 2021 and impact of the Company’s recent spin-off on compensation plans during the</w:t>
      </w:r>
    </w:p>
    <w:p>
      <w:pPr>
        <w:pStyle w:val="Normal"/>
        <w:framePr w:w="8096" w:hAnchor="page" w:vAnchor="page" w:x="276" w:y="59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global economic uncertainty, the oil and gas downturn and the COVID-19 pandemic.</w:t>
      </w:r>
    </w:p>
    <w:p>
      <w:pPr>
        <w:pStyle w:val="Normal"/>
        <w:framePr w:w="14277" w:hAnchor="page" w:vAnchor="page" w:x="276" w:y="56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2021 represented a year of significant structural change for TechnipFMC with the completion of the spin-off of Technip Energies, against a backdrop of</w:t>
      </w:r>
    </w:p>
    <w:p>
      <w:pPr>
        <w:pStyle w:val="Normal"/>
        <w:framePr w:w="7026" w:hAnchor="page" w:vAnchor="page" w:x="276" w:y="52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of votes cast in the past two years: 84.6% (2021) and 85.8% (2020).</w:t>
      </w:r>
    </w:p>
    <w:p>
      <w:pPr>
        <w:pStyle w:val="Normal"/>
        <w:framePr w:w="13969" w:hAnchor="page" w:vAnchor="page" w:x="276" w:y="49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related proposals. Shareholders have also been supportive of TechnipFMC’s compensation. Most recently, TechnipFMC received an average of 85%</w:t>
      </w:r>
    </w:p>
    <w:p>
      <w:pPr>
        <w:pStyle w:val="Normal"/>
        <w:framePr w:w="14360" w:hAnchor="page" w:vAnchor="page" w:x="276" w:y="47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Shareholder Services Inc. (ISS) have been supportive of TechnipFMC’s compensation practices, recommending a FOR vote each year on compensation-</w:t>
      </w:r>
    </w:p>
    <w:p>
      <w:pPr>
        <w:pStyle w:val="Normal"/>
        <w:framePr w:w="13694" w:hAnchor="page" w:vAnchor="page" w:x="276" w:y="451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Since the merger of FMC Technologies and Technip in 2017, the leading proxy advisory firms Glass, Lewis &amp; Co (Glass Lewis) and Institutional</w:t>
      </w:r>
    </w:p>
    <w:p>
      <w:pPr>
        <w:pStyle w:val="Normal"/>
        <w:framePr w:w="2686" w:hAnchor="page" w:vAnchor="page" w:x="276" w:y="41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Background information</w:t>
      </w:r>
    </w:p>
    <w:p>
      <w:pPr>
        <w:pStyle w:val="Normal"/>
        <w:framePr w:w="3381" w:hAnchor="page" w:vAnchor="page" w:x="276" w:y="35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addition to the information below.</w:t>
      </w:r>
    </w:p>
    <w:p>
      <w:pPr>
        <w:pStyle w:val="Normal"/>
        <w:framePr w:w="14004" w:hAnchor="page" w:vAnchor="page" w:x="276" w:y="33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deciding how to vote on Proposal 2 and Proposal 3, we encourage you to consider and read the information disclosed in the 2022 Proxy Statement in</w:t>
      </w:r>
    </w:p>
    <w:p>
      <w:pPr>
        <w:pStyle w:val="Normal"/>
        <w:framePr w:w="13603" w:hAnchor="page" w:vAnchor="page" w:x="276" w:y="31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copy of the 2022 Proxy Statement is available at https://www.technipfmc.com/en/investors/regulatory-filings/sec-filings/def-14a-4073449/. In</w:t>
      </w:r>
    </w:p>
    <w:p>
      <w:pPr>
        <w:pStyle w:val="Normal"/>
        <w:framePr w:w="309" w:hAnchor="page" w:vAnchor="page" w:x="854" w:y="26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•</w:t>
      </w:r>
    </w:p>
    <w:p>
      <w:pPr>
        <w:pStyle w:val="Normal"/>
        <w:framePr w:w="6658" w:hAnchor="page" w:vAnchor="page" w:x="1317" w:y="26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Proposal Number 3 – 2021 U.K. Directors’ Remuneration Report</w:t>
      </w:r>
    </w:p>
    <w:p>
      <w:pPr>
        <w:pStyle w:val="Normal"/>
        <w:framePr w:w="309" w:hAnchor="page" w:vAnchor="page" w:x="854" w:y="22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•</w:t>
      </w:r>
    </w:p>
    <w:p>
      <w:pPr>
        <w:pStyle w:val="Normal"/>
        <w:framePr w:w="7498" w:hAnchor="page" w:vAnchor="page" w:x="1317" w:y="22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Proposal Number 2 – 2021 U.S. Say-on-Pay for Named Executive Officers</w:t>
      </w:r>
    </w:p>
    <w:p>
      <w:pPr>
        <w:pStyle w:val="Normal"/>
        <w:framePr w:w="2111" w:hAnchor="page" w:vAnchor="page" w:x="276" w:y="19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FOR each of them:</w:t>
      </w:r>
    </w:p>
    <w:p>
      <w:pPr>
        <w:pStyle w:val="Normal"/>
        <w:framePr w:w="13888" w:hAnchor="page" w:vAnchor="page" w:x="276" w:y="17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this communication, we are providing additional background and support regarding two specific proposals, and once again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 asking for your vote</w:t>
      </w:r>
    </w:p>
    <w:p>
      <w:pPr>
        <w:pStyle w:val="Normal"/>
        <w:framePr w:w="9227" w:hAnchor="page" w:vAnchor="page" w:x="276" w:y="12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TechnipFMC which was filed with the Securities and Exchange Commission on March 18, 2022.</w:t>
      </w:r>
    </w:p>
    <w:p>
      <w:pPr>
        <w:pStyle w:val="Normal"/>
        <w:framePr w:w="13477" w:hAnchor="page" w:vAnchor="page" w:x="276" w:y="10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We are writing to ask for your support in favor of all proposals in the Proxy Statement for the 2022 Annual General Meeting of shareholders of</w:t>
      </w:r>
    </w:p>
    <w:p>
      <w:pPr>
        <w:pStyle w:val="Normal"/>
        <w:framePr w:w="3206" w:hAnchor="page" w:vAnchor="page" w:x="276" w:y="5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Dear TechnipFMC Shareholder;</w:t>
      </w:r>
    </w:p>
    <w:p>
      <w:pPr>
        <w:pStyle w:val="Normal"/>
        <w:framePr w:w="1584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April 18, 2022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7pt;margin-top:1pt;z-index:-16777184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2.8pt;margin-top:1pt;z-index:-1677718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2.8pt;margin-top:2.45pt;z-index:-1677717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597.95pt;margin-top:1pt;z-index:-1677717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2.8pt;margin-top:1pt;z-index:-1677716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211.45pt;margin-top:164.45pt;z-index:-16777164;width:34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</w:p>
    <w:p>
      <w:pPr>
        <w:pStyle w:val="Normal"/>
        <w:framePr w:w="4421" w:hAnchor="page" w:vAnchor="page" w:x="276" w:y="129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Chair—Compensation and Talent Committee</w:t>
      </w:r>
    </w:p>
    <w:p>
      <w:pPr>
        <w:pStyle w:val="Normal"/>
        <w:framePr w:w="1623" w:hAnchor="page" w:vAnchor="page" w:x="276" w:y="127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John O’Leary</w:t>
      </w:r>
    </w:p>
    <w:p>
      <w:pPr>
        <w:pStyle w:val="Normal"/>
        <w:framePr w:w="1783" w:hAnchor="page" w:vAnchor="page" w:x="276" w:y="124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/s/ John O’Leary</w:t>
      </w:r>
    </w:p>
    <w:p>
      <w:pPr>
        <w:pStyle w:val="Normal"/>
        <w:framePr w:w="2720" w:hAnchor="page" w:vAnchor="page" w:x="276" w:y="120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Lead Independent Director</w:t>
      </w:r>
    </w:p>
    <w:p>
      <w:pPr>
        <w:pStyle w:val="Normal"/>
        <w:framePr w:w="1785" w:hAnchor="page" w:vAnchor="page" w:x="276" w:y="117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Claire S. Farley</w:t>
      </w:r>
    </w:p>
    <w:p>
      <w:pPr>
        <w:pStyle w:val="Normal"/>
        <w:framePr w:w="1963" w:hAnchor="page" w:vAnchor="page" w:x="276" w:y="115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/s/ Claire S. Farley</w:t>
      </w:r>
    </w:p>
    <w:p>
      <w:pPr>
        <w:pStyle w:val="Normal"/>
        <w:framePr w:w="1145" w:hAnchor="page" w:vAnchor="page" w:x="276" w:y="110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Sincerely,</w:t>
      </w:r>
    </w:p>
    <w:p>
      <w:pPr>
        <w:pStyle w:val="Normal"/>
        <w:framePr w:w="3945" w:hAnchor="page" w:vAnchor="page" w:x="276" w:y="1055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TechnipFMC’s compensation programs.</w:t>
      </w:r>
    </w:p>
    <w:p>
      <w:pPr>
        <w:pStyle w:val="Normal"/>
        <w:framePr w:w="13208" w:hAnchor="page" w:vAnchor="page" w:x="276" w:y="103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We thank you for your thoughtful consideration towards a FOR vote for all shareholder proposals look forward to your continued support of</w:t>
      </w:r>
    </w:p>
    <w:p>
      <w:pPr>
        <w:pStyle w:val="Normal"/>
        <w:framePr w:w="2194" w:hAnchor="page" w:vAnchor="page" w:x="276" w:y="98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shareholder interests.</w:t>
      </w:r>
    </w:p>
    <w:p>
      <w:pPr>
        <w:pStyle w:val="Normal"/>
        <w:framePr w:w="13848" w:hAnchor="page" w:vAnchor="page" w:x="276" w:y="96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 we have adopted best governance practices and made key changes to our program in 2022 to ensure alignment of executive compensation with</w:t>
      </w:r>
    </w:p>
    <w:p>
      <w:pPr>
        <w:pStyle w:val="Normal"/>
        <w:framePr w:w="14315" w:hAnchor="page" w:vAnchor="page" w:x="276" w:y="94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support our business and ensure we have management continuity post spin-off. Our executive program will continue to emphasize pay-for-performance,</w:t>
      </w:r>
    </w:p>
    <w:p>
      <w:pPr>
        <w:pStyle w:val="Normal"/>
        <w:framePr w:w="13756" w:hAnchor="page" w:vAnchor="page" w:x="276" w:y="91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During a period of economic uncertainty, energy transition and historic change for TechnipFMC, the Committee took one-time strategic actions to</w:t>
      </w:r>
    </w:p>
    <w:p>
      <w:pPr>
        <w:pStyle w:val="Normal"/>
        <w:framePr w:w="7611" w:hAnchor="page" w:vAnchor="page" w:x="276" w:y="88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Why we ask you for a vote FOR on say-on-pay (Proposal 2 and Proposal 3)</w:t>
      </w:r>
    </w:p>
    <w:p>
      <w:pPr>
        <w:pStyle w:val="Normal"/>
        <w:framePr w:w="1821" w:hAnchor="page" w:vAnchor="page" w:x="1317" w:y="82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our shareholders.</w:t>
      </w:r>
    </w:p>
    <w:p>
      <w:pPr>
        <w:pStyle w:val="Normal"/>
        <w:framePr w:w="12931" w:hAnchor="page" w:vAnchor="page" w:x="1317" w:y="80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clear alignment for our executive officers to long-term financial performance and shareholder value creation and is strongly supported by</w:t>
      </w:r>
    </w:p>
    <w:p>
      <w:pPr>
        <w:pStyle w:val="Normal"/>
        <w:framePr w:w="13126" w:hAnchor="page" w:vAnchor="page" w:x="1317" w:y="77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weighted at 50% of our performance Based Long-Term Incentive Plan). We believe an equal weighting of ROIC and relative TSR provides</w:t>
      </w:r>
    </w:p>
    <w:p>
      <w:pPr>
        <w:pStyle w:val="Normal"/>
        <w:framePr w:w="309" w:hAnchor="page" w:vAnchor="page" w:x="854" w:y="75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527" w:hAnchor="page" w:vAnchor="page" w:x="1317" w:y="75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Reintroduction of ROIC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as a performance measure for the 2022 long-term incentive award grant , in addition to relative TSR (each</w:t>
      </w:r>
    </w:p>
    <w:p>
      <w:pPr>
        <w:pStyle w:val="Normal"/>
        <w:framePr w:w="9165" w:hAnchor="page" w:vAnchor="page" w:x="1317" w:y="71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align payouts with shareholder expectations and addresses the second concern expressed by ISS.</w:t>
      </w:r>
    </w:p>
    <w:p>
      <w:pPr>
        <w:pStyle w:val="Normal"/>
        <w:framePr w:w="12772" w:hAnchor="page" w:vAnchor="page" w:x="1317" w:y="69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plan will pay at target when achieving a 50th percentile position versus our relative TSR Peer Group. This change will more closely</w:t>
      </w:r>
    </w:p>
    <w:p>
      <w:pPr>
        <w:pStyle w:val="Normal"/>
        <w:framePr w:w="309" w:hAnchor="page" w:vAnchor="page" w:x="854" w:y="67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3141" w:hAnchor="page" w:vAnchor="page" w:x="1317" w:y="67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Increased rigor of the relative TSR payout scale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in our long-term incentive plan. For the 2022-2024 plan, the relative TSR component of</w:t>
      </w:r>
    </w:p>
    <w:p>
      <w:pPr>
        <w:pStyle w:val="Normal"/>
        <w:framePr w:w="1776" w:hAnchor="page" w:vAnchor="page" w:x="276" w:y="63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changes include:</w:t>
      </w:r>
    </w:p>
    <w:p>
      <w:pPr>
        <w:pStyle w:val="Normal"/>
        <w:framePr w:w="14324" w:hAnchor="page" w:vAnchor="page" w:x="276" w:y="61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feedback prompted changes to our 2022 compensation program that further aligned our compensation practices with the interests of shareholders. These</w:t>
      </w:r>
    </w:p>
    <w:p>
      <w:pPr>
        <w:pStyle w:val="Normal"/>
        <w:framePr w:w="14338" w:hAnchor="page" w:vAnchor="page" w:x="276" w:y="59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During 2021-2022 engagement, we met with many of our top shareholders which allowed us to understand their priorities and perspectives. Shareholder</w:t>
      </w:r>
    </w:p>
    <w:p>
      <w:pPr>
        <w:pStyle w:val="Normal"/>
        <w:framePr w:w="8611" w:hAnchor="page" w:vAnchor="page" w:x="276" w:y="55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Additional changes to compensation program in response to shareholder engagement</w:t>
      </w:r>
    </w:p>
    <w:p>
      <w:pPr>
        <w:pStyle w:val="Normal"/>
        <w:framePr w:w="1860" w:hAnchor="page" w:vAnchor="page" w:x="1317" w:y="49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Incentive awards.</w:t>
      </w:r>
    </w:p>
    <w:p>
      <w:pPr>
        <w:pStyle w:val="Normal"/>
        <w:framePr w:w="12747" w:hAnchor="page" w:vAnchor="page" w:x="1317" w:y="47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the Committee. Assuming target performance for the 2019 and 2020 PSUs maintained the retentive value of outstanding Long-term</w:t>
      </w:r>
    </w:p>
    <w:p>
      <w:pPr>
        <w:pStyle w:val="Normal"/>
        <w:framePr w:w="12996" w:hAnchor="page" w:vAnchor="page" w:x="1317" w:y="451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Retention and continuity of the executive team to achieve ambitious organizational transformation and strategic growth was a key priority</w:t>
      </w:r>
    </w:p>
    <w:p>
      <w:pPr>
        <w:pStyle w:val="Normal"/>
        <w:framePr w:w="309" w:hAnchor="page" w:vAnchor="page" w:x="854" w:y="42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681" w:hAnchor="page" w:vAnchor="page" w:x="1317" w:y="42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robust market for leadership talent resulted in the departure of four of our executive officers from the Company in 2020 and 2021.</w:t>
      </w:r>
    </w:p>
    <w:p>
      <w:pPr>
        <w:pStyle w:val="Normal"/>
        <w:framePr w:w="9651" w:hAnchor="page" w:vAnchor="page" w:x="1317" w:y="39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since the goals had been set for the pre-spin organization and pre-spin business targets and objectives.</w:t>
      </w:r>
    </w:p>
    <w:p>
      <w:pPr>
        <w:pStyle w:val="Normal"/>
        <w:framePr w:w="309" w:hAnchor="page" w:vAnchor="page" w:x="854" w:y="36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655" w:hAnchor="page" w:vAnchor="page" w:x="1317" w:y="36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Following the Spin-off in February, it was no longer possible to measure 2019-2021 and 2020-2022 performance against the set goals,</w:t>
      </w:r>
    </w:p>
    <w:p>
      <w:pPr>
        <w:pStyle w:val="Normal"/>
        <w:framePr w:w="7660" w:hAnchor="page" w:vAnchor="page" w:x="276" w:y="33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Performance Upon the Spin-Off. The rationale for this action was the following:</w:t>
      </w:r>
    </w:p>
    <w:p>
      <w:pPr>
        <w:pStyle w:val="Normal"/>
        <w:framePr w:w="14222" w:hAnchor="page" w:vAnchor="page" w:x="276" w:y="30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business. These actions included the conversion of 2019 and 2020 Performance Share Units (PSUs) to Restricted Share Units (RSUs) Assuming Target</w:t>
      </w:r>
    </w:p>
    <w:p>
      <w:pPr>
        <w:pStyle w:val="Normal"/>
        <w:framePr w:w="13875" w:hAnchor="page" w:vAnchor="page" w:x="276" w:y="28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Given the significant change to the Company in 2021, the Committee took key executive compensation actions with the objective of supporting the</w:t>
      </w:r>
    </w:p>
    <w:p>
      <w:pPr>
        <w:pStyle w:val="Normal"/>
        <w:framePr w:w="4707" w:hAnchor="page" w:vAnchor="page" w:x="276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Key Executive Compensation Actions in 2021</w:t>
      </w:r>
    </w:p>
    <w:p>
      <w:pPr>
        <w:pStyle w:val="Normal"/>
        <w:framePr w:w="9763" w:hAnchor="page" w:vAnchor="page" w:x="276" w:y="19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 structure during this period and long-term growth potential as a pure-play technology player.</w:t>
      </w:r>
    </w:p>
    <w:p>
      <w:pPr>
        <w:pStyle w:val="Normal"/>
        <w:framePr w:w="13810" w:hAnchor="page" w:vAnchor="page" w:x="276" w:y="17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ISS’ quantitative screen for alignment of pay to performance uses the 2019 – 2021 performance period and disregards the significant change in the</w:t>
      </w:r>
    </w:p>
    <w:p>
      <w:pPr>
        <w:pStyle w:val="Normal"/>
        <w:framePr w:w="13435" w:hAnchor="page" w:vAnchor="page" w:x="276" w:y="12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 our compelling and distinct investment profile has poised us for significant growth and positioned us to capitalize on the energy transition.</w:t>
      </w:r>
    </w:p>
    <w:p>
      <w:pPr>
        <w:pStyle w:val="Normal"/>
        <w:framePr w:w="14299" w:hAnchor="page" w:vAnchor="page" w:x="276" w:y="10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significant long term growth potential and shareholder value. The ability to focus on our distinct and expanding market opportunities and customer base</w:t>
      </w:r>
    </w:p>
    <w:p>
      <w:pPr>
        <w:pStyle w:val="Normal"/>
        <w:framePr w:w="14366" w:hAnchor="page" w:vAnchor="page" w:x="276" w:y="7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Spin-off of Technip Energies and the emergence of TechnipFMC as an industry-leading, fully integrated technology and services provider, unlocking</w:t>
      </w:r>
    </w:p>
    <w:p>
      <w:pPr>
        <w:pStyle w:val="Normal"/>
        <w:framePr w:w="14149" w:hAnchor="page" w:vAnchor="page" w:x="276" w:y="5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2021 represented a significant, structural change for TechnipFMC. In the first quarter of 2021, our Executive Officers led the successful completion of</w:t>
      </w:r>
    </w:p>
    <w:p>
      <w:pPr>
        <w:pStyle w:val="Normal"/>
        <w:framePr w:w="10898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The Spin-off of Technip Energies represented a significant change during the 2019-2021 performance period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7pt;margin-top:1pt;z-index:-16777160;width:598pt;height:671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2.8pt;margin-top:1pt;z-index:-1677715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2.8pt;margin-top:2.45pt;z-index:-1677715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597.95pt;margin-top:1pt;z-index:-1677714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2.8pt;margin-top:1pt;z-index:-1677714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2.8pt;margin-top:586.15pt;z-index:-16777140;width:23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12.8pt;margin-top:633.9pt;z-index:-16777136;width:23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64.85pt;margin-top:344.55pt;z-index:-16777132;width:198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64.85pt;margin-top:385.8pt;z-index:-16777128;width:10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</w:p>
    <w:sectPr>
      <w:pgSz w:w="12240" w:h="20160"/>
      <w:pgMar w:top="400" w:right="400" w:bottom="400" w:left="400" w:header="720" w:footer="720"/>
      <w:pgNumType w:start="3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e00ae22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0b244c23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styles.xml" Type="http://schemas.openxmlformats.org/officeDocument/2006/relationships/styles"/><Relationship Id="rId24" Target="fontTable.xml" Type="http://schemas.openxmlformats.org/officeDocument/2006/relationships/fontTable"/><Relationship Id="rId25" Target="settings.xml" Type="http://schemas.openxmlformats.org/officeDocument/2006/relationships/settings"/><Relationship Id="rId26" Target="webSettings.xml" Type="http://schemas.openxmlformats.org/officeDocument/2006/relationships/webSettings"/><Relationship Id="rId3" Target="media/image3.png" Type="http://schemas.openxmlformats.org/officeDocument/2006/relationships/image"/><Relationship Id="rId4" Target="media/image4.png" Type="http://schemas.openxmlformats.org/officeDocument/2006/relationships/image"/><Relationship Id="rId5" Target="media/image5.png" Type="http://schemas.openxmlformats.org/officeDocument/2006/relationships/image"/><Relationship Id="rId6" Target="media/image6.png" Type="http://schemas.openxmlformats.org/officeDocument/2006/relationships/image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3</Pages>
  <Words>1397</Words>
  <Characters>7835</Characters>
  <Application>e-iceblue</Application>
  <DocSecurity>0</DocSecurity>
  <Lines>128</Lines>
  <Paragraphs>128</Paragraphs>
  <ScaleCrop>false</ScaleCrop>
  <Company>e-iceblue</Company>
  <LinksUpToDate>false</LinksUpToDate>
  <CharactersWithSpaces>9110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2022-04-19T10:14:03Z</dcterms:created>
  <dc:creator>root</dc:creator>
  <cp:lastModifiedBy>root</cp:lastModifiedBy>
  <dcterms:modified xsi:type="dcterms:W3CDTF">2022-04-19T10:14:03Z</dcterms:modified>
  <cp:revision>1</cp:revision>
</cp:coreProperties>
</file>