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311150</wp:posOffset>
            </wp:positionH>
            <wp:positionV relativeFrom="page">
              <wp:posOffset>766445</wp:posOffset>
            </wp:positionV>
            <wp:extent cx="692658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26580" cy="8255"/>
                    </a:xfrm>
                    <a:prstGeom prst="rect">
                      <a:avLst/>
                    </a:prstGeom>
                    <a:noFill/>
                  </pic:spPr>
                </pic:pic>
              </a:graphicData>
            </a:graphic>
          </wp:anchor>
        </w:drawing>
        <w:drawing>
          <wp:anchor simplePos="0" relativeHeight="251657728" behindDoc="1" locked="0" layoutInCell="0" allowOverlap="1">
            <wp:simplePos x="0" y="0"/>
            <wp:positionH relativeFrom="page">
              <wp:posOffset>311150</wp:posOffset>
            </wp:positionH>
            <wp:positionV relativeFrom="page">
              <wp:posOffset>732155</wp:posOffset>
            </wp:positionV>
            <wp:extent cx="692658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26580" cy="8255"/>
                    </a:xfrm>
                    <a:prstGeom prst="rect">
                      <a:avLst/>
                    </a:prstGeom>
                    <a:noFill/>
                  </pic:spPr>
                </pic:pic>
              </a:graphicData>
            </a:graphic>
          </wp:anchor>
        </w:drawing>
        <w:t>UNITED STATES</w:t>
      </w:r>
    </w:p>
    <w:p>
      <w:pPr>
        <w:jc w:val="center"/>
        <w:spacing w:after="0" w:line="204" w:lineRule="auto"/>
        <w:rPr>
          <w:sz w:val="20"/>
          <w:szCs w:val="20"/>
          <w:color w:val="auto"/>
        </w:rPr>
      </w:pPr>
      <w:r>
        <w:rPr>
          <w:rFonts w:ascii="Arial" w:cs="Arial" w:eastAsia="Arial" w:hAnsi="Arial"/>
          <w:sz w:val="22"/>
          <w:szCs w:val="22"/>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65"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45"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60"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29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October 21, 2020</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Date of Report (Date of earliest event reported)</w:t>
      </w:r>
    </w:p>
    <w:p>
      <w:pPr>
        <w:spacing w:after="0" w:line="204"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TechnipFMC plc</w:t>
      </w:r>
    </w:p>
    <w:p>
      <w:pPr>
        <w:spacing w:after="0" w:line="54"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(Exact name of registrant as specified in its charter)</w:t>
      </w:r>
    </w:p>
    <w:p>
      <w:pPr>
        <w:spacing w:after="0" w:line="349" w:lineRule="exact"/>
        <w:rPr>
          <w:sz w:val="24"/>
          <w:szCs w:val="24"/>
          <w:color w:val="auto"/>
        </w:rPr>
      </w:pPr>
    </w:p>
    <w:tbl>
      <w:tblPr>
        <w:tblLayout w:type="fixed"/>
        <w:tblInd w:w="440" w:type="dxa"/>
        <w:tblCellMar>
          <w:top w:w="0" w:type="dxa"/>
          <w:left w:w="0" w:type="dxa"/>
          <w:bottom w:w="0" w:type="dxa"/>
          <w:right w:w="0" w:type="dxa"/>
        </w:tblCellMar>
      </w:tblPr>
      <w:tr>
        <w:trPr>
          <w:trHeight w:val="253"/>
        </w:trPr>
        <w:tc>
          <w:tcPr>
            <w:tcW w:w="2880" w:type="dxa"/>
            <w:vAlign w:val="bottom"/>
          </w:tcPr>
          <w:p>
            <w:pPr>
              <w:jc w:val="center"/>
              <w:ind w:right="76"/>
              <w:spacing w:after="0"/>
              <w:rPr>
                <w:sz w:val="20"/>
                <w:szCs w:val="20"/>
                <w:color w:val="auto"/>
              </w:rPr>
            </w:pPr>
            <w:r>
              <w:rPr>
                <w:rFonts w:ascii="Arial" w:cs="Arial" w:eastAsia="Arial" w:hAnsi="Arial"/>
                <w:sz w:val="18"/>
                <w:szCs w:val="18"/>
                <w:b w:val="1"/>
                <w:bCs w:val="1"/>
                <w:color w:val="auto"/>
              </w:rPr>
              <w:t>United Kingdom</w:t>
            </w:r>
          </w:p>
        </w:tc>
        <w:tc>
          <w:tcPr>
            <w:tcW w:w="4740" w:type="dxa"/>
            <w:vAlign w:val="bottom"/>
          </w:tcPr>
          <w:p>
            <w:pPr>
              <w:jc w:val="right"/>
              <w:ind w:right="1940"/>
              <w:spacing w:after="0"/>
              <w:rPr>
                <w:sz w:val="20"/>
                <w:szCs w:val="20"/>
                <w:color w:val="auto"/>
              </w:rPr>
            </w:pPr>
            <w:r>
              <w:rPr>
                <w:rFonts w:ascii="Arial" w:cs="Arial" w:eastAsia="Arial" w:hAnsi="Arial"/>
                <w:sz w:val="18"/>
                <w:szCs w:val="18"/>
                <w:b w:val="1"/>
                <w:bCs w:val="1"/>
                <w:color w:val="auto"/>
              </w:rPr>
              <w:t>001-37983</w:t>
            </w:r>
          </w:p>
        </w:tc>
        <w:tc>
          <w:tcPr>
            <w:tcW w:w="2480" w:type="dxa"/>
            <w:vAlign w:val="bottom"/>
          </w:tcPr>
          <w:p>
            <w:pPr>
              <w:jc w:val="center"/>
              <w:ind w:left="199"/>
              <w:spacing w:after="0"/>
              <w:rPr>
                <w:sz w:val="20"/>
                <w:szCs w:val="20"/>
                <w:color w:val="auto"/>
              </w:rPr>
            </w:pPr>
            <w:r>
              <w:rPr>
                <w:rFonts w:ascii="Arial" w:cs="Arial" w:eastAsia="Arial" w:hAnsi="Arial"/>
                <w:sz w:val="18"/>
                <w:szCs w:val="18"/>
                <w:b w:val="1"/>
                <w:bCs w:val="1"/>
                <w:color w:val="auto"/>
                <w:w w:val="99"/>
              </w:rPr>
              <w:t>98-1283037</w:t>
            </w:r>
          </w:p>
        </w:tc>
      </w:tr>
      <w:tr>
        <w:trPr>
          <w:trHeight w:val="209"/>
        </w:trPr>
        <w:tc>
          <w:tcPr>
            <w:tcW w:w="2880" w:type="dxa"/>
            <w:vAlign w:val="bottom"/>
          </w:tcPr>
          <w:p>
            <w:pPr>
              <w:jc w:val="center"/>
              <w:ind w:right="76"/>
              <w:spacing w:after="0"/>
              <w:rPr>
                <w:sz w:val="20"/>
                <w:szCs w:val="20"/>
                <w:color w:val="auto"/>
              </w:rPr>
            </w:pPr>
            <w:r>
              <w:rPr>
                <w:rFonts w:ascii="Arial" w:cs="Arial" w:eastAsia="Arial" w:hAnsi="Arial"/>
                <w:sz w:val="14"/>
                <w:szCs w:val="14"/>
                <w:color w:val="auto"/>
              </w:rPr>
              <w:t>(State or other jurisdiction of incorporation)</w:t>
            </w:r>
          </w:p>
        </w:tc>
        <w:tc>
          <w:tcPr>
            <w:tcW w:w="4740" w:type="dxa"/>
            <w:vAlign w:val="bottom"/>
          </w:tcPr>
          <w:p>
            <w:pPr>
              <w:jc w:val="center"/>
              <w:ind w:right="60"/>
              <w:spacing w:after="0"/>
              <w:rPr>
                <w:sz w:val="20"/>
                <w:szCs w:val="20"/>
                <w:color w:val="auto"/>
              </w:rPr>
            </w:pPr>
            <w:r>
              <w:rPr>
                <w:rFonts w:ascii="Arial" w:cs="Arial" w:eastAsia="Arial" w:hAnsi="Arial"/>
                <w:sz w:val="14"/>
                <w:szCs w:val="14"/>
                <w:color w:val="auto"/>
              </w:rPr>
              <w:t>(Commission File Number)</w:t>
            </w:r>
          </w:p>
        </w:tc>
        <w:tc>
          <w:tcPr>
            <w:tcW w:w="2480" w:type="dxa"/>
            <w:vAlign w:val="bottom"/>
          </w:tcPr>
          <w:p>
            <w:pPr>
              <w:jc w:val="center"/>
              <w:ind w:left="199"/>
              <w:spacing w:after="0"/>
              <w:rPr>
                <w:sz w:val="20"/>
                <w:szCs w:val="20"/>
                <w:color w:val="auto"/>
              </w:rPr>
            </w:pPr>
            <w:r>
              <w:rPr>
                <w:rFonts w:ascii="Arial" w:cs="Arial" w:eastAsia="Arial" w:hAnsi="Arial"/>
                <w:sz w:val="14"/>
                <w:szCs w:val="14"/>
                <w:color w:val="auto"/>
              </w:rPr>
              <w:t>(I.R.S. Employer Identification No.)</w:t>
            </w:r>
          </w:p>
        </w:tc>
      </w:tr>
      <w:tr>
        <w:trPr>
          <w:trHeight w:val="749"/>
        </w:trPr>
        <w:tc>
          <w:tcPr>
            <w:tcW w:w="2880" w:type="dxa"/>
            <w:vAlign w:val="bottom"/>
          </w:tcPr>
          <w:p>
            <w:pPr>
              <w:jc w:val="center"/>
              <w:ind w:right="56"/>
              <w:spacing w:after="0"/>
              <w:rPr>
                <w:sz w:val="20"/>
                <w:szCs w:val="20"/>
                <w:color w:val="auto"/>
              </w:rPr>
            </w:pPr>
            <w:r>
              <w:rPr>
                <w:rFonts w:ascii="Arial" w:cs="Arial" w:eastAsia="Arial" w:hAnsi="Arial"/>
                <w:sz w:val="18"/>
                <w:szCs w:val="18"/>
                <w:b w:val="1"/>
                <w:bCs w:val="1"/>
                <w:color w:val="auto"/>
                <w:w w:val="99"/>
              </w:rPr>
              <w:t>One St. Paul’s Churchyard</w:t>
            </w:r>
          </w:p>
        </w:tc>
        <w:tc>
          <w:tcPr>
            <w:tcW w:w="4740" w:type="dxa"/>
            <w:vAlign w:val="bottom"/>
          </w:tcPr>
          <w:p>
            <w:pPr>
              <w:spacing w:after="0"/>
              <w:rPr>
                <w:sz w:val="24"/>
                <w:szCs w:val="24"/>
                <w:color w:val="auto"/>
              </w:rPr>
            </w:pPr>
          </w:p>
        </w:tc>
        <w:tc>
          <w:tcPr>
            <w:tcW w:w="2480" w:type="dxa"/>
            <w:vAlign w:val="bottom"/>
          </w:tcPr>
          <w:p>
            <w:pPr>
              <w:spacing w:after="0"/>
              <w:rPr>
                <w:sz w:val="24"/>
                <w:szCs w:val="24"/>
                <w:color w:val="auto"/>
              </w:rPr>
            </w:pPr>
          </w:p>
        </w:tc>
      </w:tr>
      <w:tr>
        <w:trPr>
          <w:trHeight w:val="256"/>
        </w:trPr>
        <w:tc>
          <w:tcPr>
            <w:tcW w:w="2880" w:type="dxa"/>
            <w:vAlign w:val="bottom"/>
          </w:tcPr>
          <w:p>
            <w:pPr>
              <w:jc w:val="center"/>
              <w:ind w:right="56"/>
              <w:spacing w:after="0"/>
              <w:rPr>
                <w:sz w:val="20"/>
                <w:szCs w:val="20"/>
                <w:color w:val="auto"/>
              </w:rPr>
            </w:pPr>
            <w:r>
              <w:rPr>
                <w:rFonts w:ascii="Arial" w:cs="Arial" w:eastAsia="Arial" w:hAnsi="Arial"/>
                <w:sz w:val="18"/>
                <w:szCs w:val="18"/>
                <w:b w:val="1"/>
                <w:bCs w:val="1"/>
                <w:color w:val="auto"/>
                <w:w w:val="99"/>
              </w:rPr>
              <w:t>London</w:t>
            </w:r>
          </w:p>
        </w:tc>
        <w:tc>
          <w:tcPr>
            <w:tcW w:w="4740" w:type="dxa"/>
            <w:vAlign w:val="bottom"/>
          </w:tcPr>
          <w:p>
            <w:pPr>
              <w:spacing w:after="0"/>
              <w:rPr>
                <w:sz w:val="22"/>
                <w:szCs w:val="22"/>
                <w:color w:val="auto"/>
              </w:rPr>
            </w:pPr>
          </w:p>
        </w:tc>
        <w:tc>
          <w:tcPr>
            <w:tcW w:w="2480" w:type="dxa"/>
            <w:vAlign w:val="bottom"/>
          </w:tcPr>
          <w:p>
            <w:pPr>
              <w:spacing w:after="0"/>
              <w:rPr>
                <w:sz w:val="22"/>
                <w:szCs w:val="22"/>
                <w:color w:val="auto"/>
              </w:rPr>
            </w:pPr>
          </w:p>
        </w:tc>
      </w:tr>
      <w:tr>
        <w:trPr>
          <w:trHeight w:val="257"/>
        </w:trPr>
        <w:tc>
          <w:tcPr>
            <w:tcW w:w="2880" w:type="dxa"/>
            <w:vAlign w:val="bottom"/>
          </w:tcPr>
          <w:p>
            <w:pPr>
              <w:jc w:val="center"/>
              <w:ind w:right="56"/>
              <w:spacing w:after="0"/>
              <w:rPr>
                <w:sz w:val="20"/>
                <w:szCs w:val="20"/>
                <w:color w:val="auto"/>
              </w:rPr>
            </w:pPr>
            <w:r>
              <w:rPr>
                <w:rFonts w:ascii="Arial" w:cs="Arial" w:eastAsia="Arial" w:hAnsi="Arial"/>
                <w:sz w:val="18"/>
                <w:szCs w:val="18"/>
                <w:b w:val="1"/>
                <w:bCs w:val="1"/>
                <w:color w:val="auto"/>
                <w:w w:val="99"/>
              </w:rPr>
              <w:t>United Kingdom</w:t>
            </w:r>
          </w:p>
        </w:tc>
        <w:tc>
          <w:tcPr>
            <w:tcW w:w="4740" w:type="dxa"/>
            <w:vAlign w:val="bottom"/>
          </w:tcPr>
          <w:p>
            <w:pPr>
              <w:spacing w:after="0"/>
              <w:rPr>
                <w:sz w:val="22"/>
                <w:szCs w:val="22"/>
                <w:color w:val="auto"/>
              </w:rPr>
            </w:pPr>
          </w:p>
        </w:tc>
        <w:tc>
          <w:tcPr>
            <w:tcW w:w="2480" w:type="dxa"/>
            <w:vAlign w:val="bottom"/>
          </w:tcPr>
          <w:p>
            <w:pPr>
              <w:jc w:val="center"/>
              <w:ind w:left="179"/>
              <w:spacing w:after="0"/>
              <w:rPr>
                <w:sz w:val="20"/>
                <w:szCs w:val="20"/>
                <w:color w:val="auto"/>
              </w:rPr>
            </w:pPr>
            <w:r>
              <w:rPr>
                <w:rFonts w:ascii="Arial" w:cs="Arial" w:eastAsia="Arial" w:hAnsi="Arial"/>
                <w:sz w:val="18"/>
                <w:szCs w:val="18"/>
                <w:b w:val="1"/>
                <w:bCs w:val="1"/>
                <w:color w:val="auto"/>
                <w:w w:val="99"/>
              </w:rPr>
              <w:t>EC4M 8AP</w:t>
            </w:r>
          </w:p>
        </w:tc>
      </w:tr>
      <w:tr>
        <w:trPr>
          <w:trHeight w:val="210"/>
        </w:trPr>
        <w:tc>
          <w:tcPr>
            <w:tcW w:w="2880" w:type="dxa"/>
            <w:vAlign w:val="bottom"/>
          </w:tcPr>
          <w:p>
            <w:pPr>
              <w:jc w:val="center"/>
              <w:ind w:right="56"/>
              <w:spacing w:after="0"/>
              <w:rPr>
                <w:sz w:val="20"/>
                <w:szCs w:val="20"/>
                <w:color w:val="auto"/>
              </w:rPr>
            </w:pPr>
            <w:r>
              <w:rPr>
                <w:rFonts w:ascii="Arial" w:cs="Arial" w:eastAsia="Arial" w:hAnsi="Arial"/>
                <w:sz w:val="14"/>
                <w:szCs w:val="14"/>
                <w:color w:val="auto"/>
              </w:rPr>
              <w:t>(Address of principal executive offices)</w:t>
            </w:r>
          </w:p>
        </w:tc>
        <w:tc>
          <w:tcPr>
            <w:tcW w:w="4740" w:type="dxa"/>
            <w:vAlign w:val="bottom"/>
          </w:tcPr>
          <w:p>
            <w:pPr>
              <w:spacing w:after="0"/>
              <w:rPr>
                <w:sz w:val="18"/>
                <w:szCs w:val="18"/>
                <w:color w:val="auto"/>
              </w:rPr>
            </w:pPr>
          </w:p>
        </w:tc>
        <w:tc>
          <w:tcPr>
            <w:tcW w:w="2480" w:type="dxa"/>
            <w:vAlign w:val="bottom"/>
          </w:tcPr>
          <w:p>
            <w:pPr>
              <w:jc w:val="center"/>
              <w:ind w:left="159"/>
              <w:spacing w:after="0"/>
              <w:rPr>
                <w:sz w:val="20"/>
                <w:szCs w:val="20"/>
                <w:color w:val="auto"/>
              </w:rPr>
            </w:pPr>
            <w:r>
              <w:rPr>
                <w:rFonts w:ascii="Arial" w:cs="Arial" w:eastAsia="Arial" w:hAnsi="Arial"/>
                <w:sz w:val="14"/>
                <w:szCs w:val="14"/>
                <w:color w:val="auto"/>
              </w:rPr>
              <w:t>(Zip Code)</w:t>
            </w:r>
          </w:p>
        </w:tc>
      </w:tr>
      <w:tr>
        <w:trPr>
          <w:trHeight w:val="398"/>
        </w:trPr>
        <w:tc>
          <w:tcPr>
            <w:tcW w:w="2880" w:type="dxa"/>
            <w:vAlign w:val="bottom"/>
          </w:tcPr>
          <w:p>
            <w:pPr>
              <w:spacing w:after="0"/>
              <w:rPr>
                <w:sz w:val="24"/>
                <w:szCs w:val="24"/>
                <w:color w:val="auto"/>
              </w:rPr>
            </w:pPr>
          </w:p>
        </w:tc>
        <w:tc>
          <w:tcPr>
            <w:tcW w:w="4740" w:type="dxa"/>
            <w:vAlign w:val="bottom"/>
          </w:tcPr>
          <w:p>
            <w:pPr>
              <w:jc w:val="right"/>
              <w:ind w:right="1620"/>
              <w:spacing w:after="0"/>
              <w:rPr>
                <w:sz w:val="20"/>
                <w:szCs w:val="20"/>
                <w:color w:val="auto"/>
              </w:rPr>
            </w:pPr>
            <w:r>
              <w:rPr>
                <w:rFonts w:ascii="Arial" w:cs="Arial" w:eastAsia="Arial" w:hAnsi="Arial"/>
                <w:sz w:val="18"/>
                <w:szCs w:val="18"/>
                <w:b w:val="1"/>
                <w:bCs w:val="1"/>
                <w:color w:val="auto"/>
              </w:rPr>
              <w:t>+44 203-429-3950</w:t>
            </w:r>
          </w:p>
        </w:tc>
        <w:tc>
          <w:tcPr>
            <w:tcW w:w="2480" w:type="dxa"/>
            <w:vAlign w:val="bottom"/>
          </w:tcPr>
          <w:p>
            <w:pPr>
              <w:spacing w:after="0"/>
              <w:rPr>
                <w:sz w:val="24"/>
                <w:szCs w:val="24"/>
                <w:color w:val="auto"/>
              </w:rPr>
            </w:pPr>
          </w:p>
        </w:tc>
      </w:tr>
      <w:tr>
        <w:trPr>
          <w:trHeight w:val="209"/>
        </w:trPr>
        <w:tc>
          <w:tcPr>
            <w:tcW w:w="2880" w:type="dxa"/>
            <w:vAlign w:val="bottom"/>
          </w:tcPr>
          <w:p>
            <w:pPr>
              <w:spacing w:after="0"/>
              <w:rPr>
                <w:sz w:val="18"/>
                <w:szCs w:val="18"/>
                <w:color w:val="auto"/>
              </w:rPr>
            </w:pPr>
          </w:p>
        </w:tc>
        <w:tc>
          <w:tcPr>
            <w:tcW w:w="4740" w:type="dxa"/>
            <w:vAlign w:val="bottom"/>
          </w:tcPr>
          <w:p>
            <w:pPr>
              <w:jc w:val="center"/>
              <w:ind w:right="60"/>
              <w:spacing w:after="0"/>
              <w:rPr>
                <w:sz w:val="20"/>
                <w:szCs w:val="20"/>
                <w:color w:val="auto"/>
              </w:rPr>
            </w:pPr>
            <w:r>
              <w:rPr>
                <w:rFonts w:ascii="Arial" w:cs="Arial" w:eastAsia="Arial" w:hAnsi="Arial"/>
                <w:sz w:val="14"/>
                <w:szCs w:val="14"/>
                <w:color w:val="auto"/>
              </w:rPr>
              <w:t>(Registrant's telephone number, including area code)</w:t>
            </w:r>
          </w:p>
        </w:tc>
        <w:tc>
          <w:tcPr>
            <w:tcW w:w="2480" w:type="dxa"/>
            <w:vAlign w:val="bottom"/>
          </w:tcPr>
          <w:p>
            <w:pPr>
              <w:spacing w:after="0"/>
              <w:rPr>
                <w:sz w:val="18"/>
                <w:szCs w:val="18"/>
                <w:color w:val="auto"/>
              </w:rPr>
            </w:pPr>
          </w:p>
        </w:tc>
      </w:tr>
      <w:tr>
        <w:trPr>
          <w:trHeight w:val="427"/>
        </w:trPr>
        <w:tc>
          <w:tcPr>
            <w:tcW w:w="2880" w:type="dxa"/>
            <w:vAlign w:val="bottom"/>
          </w:tcPr>
          <w:p>
            <w:pPr>
              <w:spacing w:after="0"/>
              <w:rPr>
                <w:sz w:val="24"/>
                <w:szCs w:val="24"/>
                <w:color w:val="auto"/>
              </w:rPr>
            </w:pPr>
          </w:p>
        </w:tc>
        <w:tc>
          <w:tcPr>
            <w:tcW w:w="4740" w:type="dxa"/>
            <w:vAlign w:val="bottom"/>
          </w:tcPr>
          <w:p>
            <w:pPr>
              <w:jc w:val="center"/>
              <w:ind w:right="40"/>
              <w:spacing w:after="0"/>
              <w:rPr>
                <w:sz w:val="20"/>
                <w:szCs w:val="20"/>
                <w:color w:val="auto"/>
              </w:rPr>
            </w:pPr>
            <w:r>
              <w:rPr>
                <w:rFonts w:ascii="Arial" w:cs="Arial" w:eastAsia="Arial" w:hAnsi="Arial"/>
                <w:sz w:val="18"/>
                <w:szCs w:val="18"/>
                <w:b w:val="1"/>
                <w:bCs w:val="1"/>
                <w:color w:val="auto"/>
                <w:w w:val="99"/>
              </w:rPr>
              <w:t>Not Applicable</w:t>
            </w:r>
          </w:p>
        </w:tc>
        <w:tc>
          <w:tcPr>
            <w:tcW w:w="2480" w:type="dxa"/>
            <w:vAlign w:val="bottom"/>
          </w:tcPr>
          <w:p>
            <w:pPr>
              <w:spacing w:after="0"/>
              <w:rPr>
                <w:sz w:val="24"/>
                <w:szCs w:val="24"/>
                <w:color w:val="auto"/>
              </w:rPr>
            </w:pPr>
          </w:p>
        </w:tc>
      </w:tr>
      <w:tr>
        <w:trPr>
          <w:trHeight w:val="148"/>
        </w:trPr>
        <w:tc>
          <w:tcPr>
            <w:tcW w:w="2880" w:type="dxa"/>
            <w:vAlign w:val="bottom"/>
          </w:tcPr>
          <w:p>
            <w:pPr>
              <w:spacing w:after="0"/>
              <w:rPr>
                <w:sz w:val="12"/>
                <w:szCs w:val="12"/>
                <w:color w:val="auto"/>
              </w:rPr>
            </w:pPr>
          </w:p>
        </w:tc>
        <w:tc>
          <w:tcPr>
            <w:tcW w:w="4740" w:type="dxa"/>
            <w:vAlign w:val="bottom"/>
          </w:tcPr>
          <w:p>
            <w:pPr>
              <w:jc w:val="center"/>
              <w:ind w:right="40"/>
              <w:spacing w:after="0" w:line="149" w:lineRule="exact"/>
              <w:rPr>
                <w:sz w:val="20"/>
                <w:szCs w:val="20"/>
                <w:color w:val="auto"/>
              </w:rPr>
            </w:pPr>
            <w:r>
              <w:rPr>
                <w:rFonts w:ascii="Arial" w:cs="Arial" w:eastAsia="Arial" w:hAnsi="Arial"/>
                <w:sz w:val="14"/>
                <w:szCs w:val="14"/>
                <w:color w:val="auto"/>
              </w:rPr>
              <w:t>(Former name or former address, if changed since last report)</w:t>
            </w:r>
          </w:p>
        </w:tc>
        <w:tc>
          <w:tcPr>
            <w:tcW w:w="2480" w:type="dxa"/>
            <w:vAlign w:val="bottom"/>
          </w:tcPr>
          <w:p>
            <w:pPr>
              <w:spacing w:after="0"/>
              <w:rPr>
                <w:sz w:val="12"/>
                <w:szCs w:val="12"/>
                <w:color w:val="auto"/>
              </w:rPr>
            </w:pPr>
          </w:p>
        </w:tc>
      </w:tr>
      <w:tr>
        <w:trPr>
          <w:trHeight w:val="194"/>
        </w:trPr>
        <w:tc>
          <w:tcPr>
            <w:tcW w:w="2880" w:type="dxa"/>
            <w:vAlign w:val="bottom"/>
          </w:tcPr>
          <w:p>
            <w:pPr>
              <w:spacing w:after="0"/>
              <w:rPr>
                <w:sz w:val="16"/>
                <w:szCs w:val="16"/>
                <w:color w:val="auto"/>
              </w:rPr>
            </w:pPr>
          </w:p>
        </w:tc>
        <w:tc>
          <w:tcPr>
            <w:tcW w:w="4740" w:type="dxa"/>
            <w:vAlign w:val="bottom"/>
          </w:tcPr>
          <w:p>
            <w:pPr>
              <w:jc w:val="right"/>
              <w:ind w:right="200"/>
              <w:spacing w:after="0"/>
              <w:rPr>
                <w:sz w:val="20"/>
                <w:szCs w:val="20"/>
                <w:color w:val="auto"/>
              </w:rPr>
            </w:pPr>
            <w:r>
              <w:rPr>
                <w:rFonts w:ascii="Arial" w:cs="Arial" w:eastAsia="Arial" w:hAnsi="Arial"/>
                <w:sz w:val="14"/>
                <w:szCs w:val="14"/>
                <w:color w:val="auto"/>
              </w:rPr>
              <w:t>______________________________________________________</w:t>
            </w:r>
          </w:p>
        </w:tc>
        <w:tc>
          <w:tcPr>
            <w:tcW w:w="2480" w:type="dxa"/>
            <w:vAlign w:val="bottom"/>
          </w:tcPr>
          <w:p>
            <w:pPr>
              <w:spacing w:after="0"/>
              <w:rPr>
                <w:sz w:val="16"/>
                <w:szCs w:val="16"/>
                <w:color w:val="auto"/>
              </w:rPr>
            </w:pPr>
          </w:p>
        </w:tc>
      </w:tr>
    </w:tbl>
    <w:p>
      <w:pPr>
        <w:spacing w:after="0" w:line="114"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Securities registered pursuant to Section 12(b) of the Act:</w:t>
      </w:r>
    </w:p>
    <w:p>
      <w:pPr>
        <w:sectPr>
          <w:pgSz w:w="11900" w:h="16838" w:orient="portrait"/>
          <w:cols w:equalWidth="0" w:num="1">
            <w:col w:w="11240"/>
          </w:cols>
          <w:pgMar w:left="320" w:top="1271" w:right="339" w:bottom="1440" w:gutter="0" w:footer="0" w:header="0"/>
        </w:sectPr>
      </w:pPr>
    </w:p>
    <w:p>
      <w:pPr>
        <w:spacing w:after="0" w:line="55" w:lineRule="exact"/>
        <w:rPr>
          <w:sz w:val="24"/>
          <w:szCs w:val="24"/>
          <w:color w:val="auto"/>
        </w:rPr>
      </w:pPr>
    </w:p>
    <w:p>
      <w:pPr>
        <w:ind w:left="1640"/>
        <w:spacing w:after="0"/>
        <w:rPr>
          <w:sz w:val="20"/>
          <w:szCs w:val="20"/>
          <w:color w:val="auto"/>
        </w:rPr>
      </w:pPr>
      <w:r>
        <w:rPr>
          <w:rFonts w:ascii="Arial" w:cs="Arial" w:eastAsia="Arial" w:hAnsi="Arial"/>
          <w:sz w:val="14"/>
          <w:szCs w:val="14"/>
          <w:b w:val="1"/>
          <w:bCs w:val="1"/>
          <w:color w:val="auto"/>
        </w:rPr>
        <w:t>Title of Each Class</w:t>
      </w:r>
    </w:p>
    <w:p>
      <w:pPr>
        <w:spacing w:after="0" w:line="20" w:lineRule="exact"/>
        <w:rPr>
          <w:sz w:val="24"/>
          <w:szCs w:val="24"/>
          <w:color w:val="auto"/>
        </w:rPr>
      </w:pPr>
      <w:r>
        <w:rPr>
          <w:sz w:val="24"/>
          <w:szCs w:val="24"/>
          <w:color w:val="auto"/>
        </w:rPr>
        <w:br w:type="column"/>
      </w:r>
    </w:p>
    <w:p>
      <w:pPr>
        <w:spacing w:after="0" w:line="35"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Trading Symbol</w:t>
      </w:r>
    </w:p>
    <w:p>
      <w:pPr>
        <w:spacing w:after="0" w:line="20" w:lineRule="exact"/>
        <w:rPr>
          <w:sz w:val="24"/>
          <w:szCs w:val="24"/>
          <w:color w:val="auto"/>
        </w:rPr>
      </w:pPr>
      <w:r>
        <w:rPr>
          <w:sz w:val="24"/>
          <w:szCs w:val="24"/>
          <w:color w:val="auto"/>
        </w:rPr>
        <w:br w:type="column"/>
      </w:r>
    </w:p>
    <w:p>
      <w:pPr>
        <w:spacing w:after="0" w:line="35"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Name of Each Exchange on Which Registered</w:t>
      </w:r>
    </w:p>
    <w:p>
      <w:pPr>
        <w:spacing w:after="0" w:line="57" w:lineRule="exact"/>
        <w:rPr>
          <w:sz w:val="24"/>
          <w:szCs w:val="24"/>
          <w:color w:val="auto"/>
        </w:rPr>
      </w:pPr>
    </w:p>
    <w:p>
      <w:pPr>
        <w:sectPr>
          <w:pgSz w:w="11900" w:h="16838" w:orient="portrait"/>
          <w:cols w:equalWidth="0" w:num="3">
            <w:col w:w="4360" w:space="720"/>
            <w:col w:w="1580" w:space="720"/>
            <w:col w:w="3860"/>
          </w:cols>
          <w:pgMar w:left="320" w:top="1271" w:right="339" w:bottom="1440" w:gutter="0" w:footer="0" w:header="0"/>
          <w:type w:val="continuous"/>
        </w:sectPr>
      </w:pPr>
    </w:p>
    <w:p>
      <w:pPr>
        <w:ind w:left="920"/>
        <w:spacing w:after="0"/>
        <w:rPr>
          <w:sz w:val="20"/>
          <w:szCs w:val="20"/>
          <w:color w:val="auto"/>
        </w:rPr>
      </w:pPr>
      <w:r>
        <w:rPr>
          <w:rFonts w:ascii="Arial" w:cs="Arial" w:eastAsia="Arial" w:hAnsi="Arial"/>
          <w:sz w:val="14"/>
          <w:szCs w:val="14"/>
          <w:color w:val="auto"/>
        </w:rPr>
        <w:t>Ordinary shares, $1.00 par value per share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FTI</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New York Stock Exchange</w:t>
      </w:r>
    </w:p>
    <w:p>
      <w:pPr>
        <w:spacing w:after="0" w:line="40" w:lineRule="exact"/>
        <w:rPr>
          <w:sz w:val="24"/>
          <w:szCs w:val="24"/>
          <w:color w:val="auto"/>
        </w:rPr>
      </w:pPr>
    </w:p>
    <w:p>
      <w:pPr>
        <w:sectPr>
          <w:pgSz w:w="11900" w:h="16838" w:orient="portrait"/>
          <w:cols w:equalWidth="0" w:num="3">
            <w:col w:w="4780" w:space="720"/>
            <w:col w:w="1900" w:space="720"/>
            <w:col w:w="3120"/>
          </w:cols>
          <w:pgMar w:left="320" w:top="1271" w:right="339" w:bottom="1440" w:gutter="0" w:footer="0" w:header="0"/>
          <w:type w:val="continuous"/>
        </w:sectPr>
      </w:pPr>
    </w:p>
    <w:p>
      <w:pPr>
        <w:jc w:val="center"/>
        <w:ind w:right="-19"/>
        <w:spacing w:after="0"/>
        <w:rPr>
          <w:sz w:val="20"/>
          <w:szCs w:val="20"/>
          <w:color w:val="auto"/>
        </w:rPr>
      </w:pPr>
      <w:r>
        <w:rPr>
          <w:rFonts w:ascii="Arial" w:cs="Arial" w:eastAsia="Arial" w:hAnsi="Arial"/>
          <w:sz w:val="14"/>
          <w:szCs w:val="14"/>
          <w:b w:val="1"/>
          <w:bCs w:val="1"/>
          <w:color w:val="auto"/>
        </w:rPr>
        <w:t xml:space="preserve">Securities registered pursuant to Section 12(g) of the Act: </w:t>
      </w:r>
      <w:r>
        <w:rPr>
          <w:rFonts w:ascii="Arial" w:cs="Arial" w:eastAsia="Arial" w:hAnsi="Arial"/>
          <w:sz w:val="14"/>
          <w:szCs w:val="14"/>
          <w:color w:val="auto"/>
        </w:rPr>
        <w:t>None.</w:t>
      </w:r>
    </w:p>
    <w:p>
      <w:pPr>
        <w:spacing w:after="0" w:line="363" w:lineRule="exact"/>
        <w:rPr>
          <w:sz w:val="24"/>
          <w:szCs w:val="24"/>
          <w:color w:val="auto"/>
        </w:rPr>
      </w:pPr>
    </w:p>
    <w:p>
      <w:pPr>
        <w:ind w:right="300"/>
        <w:spacing w:after="0" w:line="291" w:lineRule="auto"/>
        <w:rPr>
          <w:sz w:val="20"/>
          <w:szCs w:val="20"/>
          <w:color w:val="auto"/>
        </w:rPr>
      </w:pPr>
      <w:r>
        <w:rPr>
          <w:rFonts w:ascii="Arial" w:cs="Arial" w:eastAsia="Arial" w:hAnsi="Arial"/>
          <w:sz w:val="16"/>
          <w:szCs w:val="16"/>
          <w:color w:val="auto"/>
        </w:rPr>
        <w:t>Check the appropriate box below if the Form 8-K filing is intended to simultaneously satisfy the filing obligation of the registrant under any of the following provisions:</w:t>
      </w:r>
    </w:p>
    <w:p>
      <w:pPr>
        <w:spacing w:after="0" w:line="161"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Written communications pursuant to Rule 425 under the Securities Act (17 CFR 230.425)</w:t>
      </w:r>
    </w:p>
    <w:p>
      <w:pPr>
        <w:spacing w:after="0" w:line="221" w:lineRule="exact"/>
        <w:rPr>
          <w:rFonts w:ascii="MS PGothic" w:cs="MS PGothic" w:eastAsia="MS PGothic" w:hAnsi="MS PGothic"/>
          <w:sz w:val="16"/>
          <w:szCs w:val="16"/>
          <w:color w:val="auto"/>
        </w:rPr>
      </w:pPr>
    </w:p>
    <w:p>
      <w:pPr>
        <w:ind w:left="340" w:hanging="332"/>
        <w:spacing w:after="0"/>
        <w:tabs>
          <w:tab w:leader="none" w:pos="34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Soliciting material pursuant to Rule 14a-12 under the Exchange Act (17 CFR 240.14a-12)</w:t>
      </w:r>
    </w:p>
    <w:p>
      <w:pPr>
        <w:spacing w:after="0" w:line="221" w:lineRule="exact"/>
        <w:rPr>
          <w:rFonts w:ascii="MS PGothic" w:cs="MS PGothic" w:eastAsia="MS PGothic" w:hAnsi="MS PGothic"/>
          <w:sz w:val="16"/>
          <w:szCs w:val="16"/>
          <w:color w:val="auto"/>
        </w:rPr>
      </w:pPr>
    </w:p>
    <w:p>
      <w:pPr>
        <w:ind w:left="340" w:hanging="332"/>
        <w:spacing w:after="0"/>
        <w:tabs>
          <w:tab w:leader="none" w:pos="34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Pre-commencement communications pursuant to Rule 14d-2(b) under the Exchange Act (17 CFR 240.14d-2(b))</w:t>
      </w:r>
    </w:p>
    <w:p>
      <w:pPr>
        <w:spacing w:after="0" w:line="221" w:lineRule="exact"/>
        <w:rPr>
          <w:rFonts w:ascii="MS PGothic" w:cs="MS PGothic" w:eastAsia="MS PGothic" w:hAnsi="MS PGothic"/>
          <w:sz w:val="16"/>
          <w:szCs w:val="16"/>
          <w:color w:val="auto"/>
        </w:rPr>
      </w:pPr>
    </w:p>
    <w:p>
      <w:pPr>
        <w:ind w:left="340" w:hanging="332"/>
        <w:spacing w:after="0"/>
        <w:tabs>
          <w:tab w:leader="none" w:pos="34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Pre-commencement communications pursuant to Rule 13e-4(c) under the Exchange Act (17 CFR 240.13e-4(c))</w:t>
      </w:r>
    </w:p>
    <w:p>
      <w:pPr>
        <w:spacing w:after="0" w:line="329" w:lineRule="exact"/>
        <w:rPr>
          <w:sz w:val="24"/>
          <w:szCs w:val="24"/>
          <w:color w:val="auto"/>
        </w:rPr>
      </w:pPr>
    </w:p>
    <w:p>
      <w:pPr>
        <w:spacing w:after="0" w:line="285" w:lineRule="auto"/>
        <w:rPr>
          <w:sz w:val="20"/>
          <w:szCs w:val="20"/>
          <w:color w:val="auto"/>
        </w:rPr>
      </w:pPr>
      <w:r>
        <w:rPr>
          <w:rFonts w:ascii="Arial" w:cs="Arial" w:eastAsia="Arial" w:hAnsi="Arial"/>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121" w:lineRule="exact"/>
        <w:rPr>
          <w:sz w:val="24"/>
          <w:szCs w:val="24"/>
          <w:color w:val="auto"/>
        </w:rPr>
      </w:pPr>
    </w:p>
    <w:p>
      <w:pPr>
        <w:ind w:right="20"/>
        <w:spacing w:after="0" w:line="211" w:lineRule="exact"/>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any new or revised financial accounting standards provided pursuant to Section 13(a) of the Exchange Act</w:t>
      </w:r>
      <w:r>
        <w:rPr>
          <w:rFonts w:ascii="Times New Roman" w:cs="Times New Roman" w:eastAsia="Times New Roman" w:hAnsi="Times New Roman"/>
          <w:sz w:val="16"/>
          <w:szCs w:val="16"/>
          <w:color w:val="auto"/>
        </w:rPr>
        <w:t>.</w:t>
      </w:r>
      <w:r>
        <w:rPr>
          <w:rFonts w:ascii="Arial" w:cs="Arial" w:eastAsia="Arial" w:hAnsi="Arial"/>
          <w:sz w:val="16"/>
          <w:szCs w:val="16"/>
          <w:color w:val="auto"/>
        </w:rPr>
        <w:t xml:space="preserve">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738505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104140</wp:posOffset>
            </wp:positionV>
            <wp:extent cx="711517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15175" cy="8255"/>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69850</wp:posOffset>
            </wp:positionV>
            <wp:extent cx="71151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15175" cy="8890"/>
                    </a:xfrm>
                    <a:prstGeom prst="rect">
                      <a:avLst/>
                    </a:prstGeom>
                    <a:noFill/>
                  </pic:spPr>
                </pic:pic>
              </a:graphicData>
            </a:graphic>
          </wp:anchor>
        </w:drawing>
      </w:r>
    </w:p>
    <w:p>
      <w:pPr>
        <w:sectPr>
          <w:pgSz w:w="11900" w:h="16838" w:orient="portrait"/>
          <w:cols w:equalWidth="0" w:num="1">
            <w:col w:w="11240"/>
          </w:cols>
          <w:pgMar w:left="320" w:top="1271" w:right="339" w:bottom="1440" w:gutter="0" w:footer="0" w:header="0"/>
          <w:type w:val="continuous"/>
        </w:sectPr>
      </w:pPr>
    </w:p>
    <w:bookmarkStart w:id="1" w:name="page2"/>
    <w:bookmarkEnd w:id="1"/>
    <w:p>
      <w:pPr>
        <w:spacing w:after="0"/>
        <w:tabs>
          <w:tab w:leader="none" w:pos="96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7"/>
          <w:szCs w:val="17"/>
          <w:b w:val="1"/>
          <w:bCs w:val="1"/>
          <w:color w:val="auto"/>
        </w:rPr>
        <w:t>Results of Operations and Financial Condition</w:t>
      </w:r>
    </w:p>
    <w:p>
      <w:pPr>
        <w:spacing w:after="0" w:line="33" w:lineRule="exact"/>
        <w:rPr>
          <w:sz w:val="20"/>
          <w:szCs w:val="20"/>
          <w:color w:val="auto"/>
        </w:rPr>
      </w:pPr>
    </w:p>
    <w:p>
      <w:pPr>
        <w:spacing w:after="0" w:line="266" w:lineRule="auto"/>
        <w:rPr>
          <w:sz w:val="20"/>
          <w:szCs w:val="20"/>
          <w:color w:val="auto"/>
        </w:rPr>
      </w:pPr>
      <w:r>
        <w:rPr>
          <w:rFonts w:ascii="Arial" w:cs="Arial" w:eastAsia="Arial" w:hAnsi="Arial"/>
          <w:sz w:val="18"/>
          <w:szCs w:val="18"/>
          <w:color w:val="auto"/>
        </w:rPr>
        <w:t>On October 21, 2020, TechnipFMC plc (the "Company") issued a news release announcing its financial results for the fiscal quarter ended September 30, 2020. A copy of the news release is furnished as Exhibit 99.1 to this report and is incorporated herein by reference.</w:t>
      </w:r>
    </w:p>
    <w:p>
      <w:pPr>
        <w:spacing w:after="0" w:line="192"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7"/>
          <w:szCs w:val="17"/>
          <w:b w:val="1"/>
          <w:bCs w:val="1"/>
          <w:color w:val="auto"/>
        </w:rPr>
        <w:t>Financial Statements and Exhibits</w:t>
      </w: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52" w:lineRule="exact"/>
        <w:rPr>
          <w:sz w:val="20"/>
          <w:szCs w:val="20"/>
          <w:color w:val="auto"/>
        </w:rPr>
      </w:pPr>
    </w:p>
    <w:p>
      <w:pPr>
        <w:spacing w:after="0"/>
        <w:tabs>
          <w:tab w:leader="none" w:pos="1060" w:val="left"/>
        </w:tabs>
        <w:rPr>
          <w:sz w:val="20"/>
          <w:szCs w:val="20"/>
          <w:color w:val="auto"/>
        </w:rPr>
      </w:pPr>
      <w:r>
        <w:rPr>
          <w:rFonts w:ascii="Arial" w:cs="Arial" w:eastAsia="Arial" w:hAnsi="Arial"/>
          <w:sz w:val="18"/>
          <w:szCs w:val="18"/>
          <w:u w:val="single" w:color="auto"/>
          <w:color w:val="auto"/>
        </w:rPr>
        <w:t>Exhibit No.</w:t>
      </w:r>
      <w:r>
        <w:rPr>
          <w:sz w:val="20"/>
          <w:szCs w:val="20"/>
          <w:color w:val="auto"/>
        </w:rPr>
        <w:tab/>
      </w:r>
      <w:r>
        <w:rPr>
          <w:rFonts w:ascii="Arial" w:cs="Arial" w:eastAsia="Arial" w:hAnsi="Arial"/>
          <w:sz w:val="17"/>
          <w:szCs w:val="17"/>
          <w:u w:val="single" w:color="auto"/>
          <w:color w:val="auto"/>
        </w:rPr>
        <w:t>Description</w:t>
      </w:r>
    </w:p>
    <w:p>
      <w:pPr>
        <w:spacing w:after="0" w:line="252" w:lineRule="exact"/>
        <w:rPr>
          <w:sz w:val="20"/>
          <w:szCs w:val="20"/>
          <w:color w:val="auto"/>
        </w:rPr>
      </w:pPr>
    </w:p>
    <w:p>
      <w:pPr>
        <w:spacing w:after="0"/>
        <w:tabs>
          <w:tab w:leader="none" w:pos="54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7"/>
          <w:szCs w:val="17"/>
          <w:color w:val="auto"/>
        </w:rPr>
        <w:t>News Release issued by the Company dated October 21, 2020</w:t>
      </w:r>
    </w:p>
    <w:p>
      <w:pPr>
        <w:spacing w:after="0" w:line="252" w:lineRule="exact"/>
        <w:rPr>
          <w:sz w:val="20"/>
          <w:szCs w:val="20"/>
          <w:color w:val="auto"/>
        </w:rPr>
      </w:pPr>
    </w:p>
    <w:p>
      <w:pPr>
        <w:spacing w:after="0"/>
        <w:tabs>
          <w:tab w:leader="none" w:pos="480" w:val="left"/>
        </w:tabs>
        <w:rPr>
          <w:sz w:val="20"/>
          <w:szCs w:val="20"/>
          <w:color w:val="auto"/>
        </w:rPr>
      </w:pPr>
      <w:r>
        <w:rPr>
          <w:rFonts w:ascii="Arial" w:cs="Arial" w:eastAsia="Arial" w:hAnsi="Arial"/>
          <w:sz w:val="18"/>
          <w:szCs w:val="18"/>
          <w:color w:val="auto"/>
        </w:rPr>
        <w:t>104</w:t>
        <w:tab/>
        <w:t>Inline XBRL for the cover page of this Current Report on Form 8-K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577215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84"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360" w:type="dxa"/>
            <w:vAlign w:val="bottom"/>
            <w:gridSpan w:val="2"/>
          </w:tcPr>
          <w:p>
            <w:pPr>
              <w:ind w:left="3080"/>
              <w:spacing w:after="0"/>
              <w:rPr>
                <w:sz w:val="20"/>
                <w:szCs w:val="20"/>
                <w:color w:val="auto"/>
              </w:rPr>
            </w:pPr>
            <w:r>
              <w:rPr>
                <w:rFonts w:ascii="Arial" w:cs="Arial" w:eastAsia="Arial" w:hAnsi="Arial"/>
                <w:sz w:val="18"/>
                <w:szCs w:val="18"/>
                <w:b w:val="1"/>
                <w:bCs w:val="1"/>
                <w:color w:val="auto"/>
              </w:rPr>
              <w:t>EXHIBIT INDEX</w:t>
            </w:r>
          </w:p>
        </w:tc>
      </w:tr>
      <w:tr>
        <w:trPr>
          <w:trHeight w:val="514"/>
        </w:trPr>
        <w:tc>
          <w:tcPr>
            <w:tcW w:w="20" w:type="dxa"/>
            <w:vAlign w:val="bottom"/>
          </w:tcPr>
          <w:p>
            <w:pPr>
              <w:spacing w:after="0"/>
              <w:rPr>
                <w:sz w:val="24"/>
                <w:szCs w:val="24"/>
                <w:color w:val="auto"/>
              </w:rPr>
            </w:pPr>
          </w:p>
        </w:tc>
        <w:tc>
          <w:tcPr>
            <w:tcW w:w="1740" w:type="dxa"/>
            <w:vAlign w:val="bottom"/>
            <w:tcBorders>
              <w:bottom w:val="single" w:sz="8" w:color="auto"/>
            </w:tcBorders>
          </w:tcPr>
          <w:p>
            <w:pPr>
              <w:ind w:left="20"/>
              <w:spacing w:after="0"/>
              <w:rPr>
                <w:sz w:val="20"/>
                <w:szCs w:val="20"/>
                <w:color w:val="auto"/>
              </w:rPr>
            </w:pPr>
            <w:r>
              <w:rPr>
                <w:rFonts w:ascii="Arial" w:cs="Arial" w:eastAsia="Arial" w:hAnsi="Arial"/>
                <w:sz w:val="18"/>
                <w:szCs w:val="18"/>
                <w:b w:val="1"/>
                <w:bCs w:val="1"/>
                <w:color w:val="auto"/>
              </w:rPr>
              <w:t>Exhibit Number</w:t>
            </w:r>
          </w:p>
        </w:tc>
        <w:tc>
          <w:tcPr>
            <w:tcW w:w="120" w:type="dxa"/>
            <w:vAlign w:val="bottom"/>
          </w:tcPr>
          <w:p>
            <w:pPr>
              <w:spacing w:after="0"/>
              <w:rPr>
                <w:sz w:val="24"/>
                <w:szCs w:val="24"/>
                <w:color w:val="auto"/>
              </w:rPr>
            </w:pPr>
          </w:p>
        </w:tc>
        <w:tc>
          <w:tcPr>
            <w:tcW w:w="93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Exhibit Description</w:t>
            </w:r>
          </w:p>
        </w:tc>
        <w:tc>
          <w:tcPr>
            <w:tcW w:w="20" w:type="dxa"/>
            <w:vAlign w:val="bottom"/>
          </w:tcPr>
          <w:p>
            <w:pPr>
              <w:spacing w:after="0"/>
              <w:rPr>
                <w:sz w:val="24"/>
                <w:szCs w:val="24"/>
                <w:color w:val="auto"/>
              </w:rPr>
            </w:pPr>
          </w:p>
        </w:tc>
      </w:tr>
      <w:tr>
        <w:trPr>
          <w:trHeight w:val="241"/>
        </w:trPr>
        <w:tc>
          <w:tcPr>
            <w:tcW w:w="1760" w:type="dxa"/>
            <w:vAlign w:val="bottom"/>
            <w:gridSpan w:val="2"/>
          </w:tcPr>
          <w:p>
            <w:pPr>
              <w:ind w:left="40"/>
              <w:spacing w:after="0"/>
              <w:rPr>
                <w:sz w:val="20"/>
                <w:szCs w:val="20"/>
                <w:color w:val="auto"/>
              </w:rPr>
            </w:pPr>
            <w:r>
              <w:rPr>
                <w:rFonts w:ascii="Arial" w:cs="Arial" w:eastAsia="Arial" w:hAnsi="Arial"/>
                <w:sz w:val="18"/>
                <w:szCs w:val="18"/>
                <w:color w:val="auto"/>
              </w:rPr>
              <w:t>99.1</w:t>
            </w:r>
          </w:p>
        </w:tc>
        <w:tc>
          <w:tcPr>
            <w:tcW w:w="120" w:type="dxa"/>
            <w:vAlign w:val="bottom"/>
          </w:tcPr>
          <w:p>
            <w:pPr>
              <w:spacing w:after="0"/>
              <w:rPr>
                <w:sz w:val="20"/>
                <w:szCs w:val="20"/>
                <w:color w:val="auto"/>
              </w:rPr>
            </w:pPr>
          </w:p>
        </w:tc>
        <w:tc>
          <w:tcPr>
            <w:tcW w:w="9340" w:type="dxa"/>
            <w:vAlign w:val="bottom"/>
          </w:tcPr>
          <w:p>
            <w:pPr>
              <w:spacing w:after="0"/>
              <w:rPr>
                <w:rFonts w:ascii="Arial" w:cs="Arial" w:eastAsia="Arial" w:hAnsi="Arial"/>
                <w:sz w:val="18"/>
                <w:szCs w:val="18"/>
                <w:u w:val="single" w:color="auto"/>
                <w:color w:val="0000FF"/>
              </w:rPr>
            </w:pPr>
            <w:hyperlink w:anchor="page5">
              <w:r>
                <w:rPr>
                  <w:rFonts w:ascii="Arial" w:cs="Arial" w:eastAsia="Arial" w:hAnsi="Arial"/>
                  <w:sz w:val="18"/>
                  <w:szCs w:val="18"/>
                  <w:u w:val="single" w:color="auto"/>
                  <w:color w:val="0000FF"/>
                </w:rPr>
                <w:t>News Release issued by the Company dated October 21, 2020</w:t>
              </w:r>
            </w:hyperlink>
          </w:p>
        </w:tc>
        <w:tc>
          <w:tcPr>
            <w:tcW w:w="20" w:type="dxa"/>
            <w:vAlign w:val="bottom"/>
          </w:tcPr>
          <w:p>
            <w:pPr>
              <w:spacing w:after="0"/>
              <w:rPr>
                <w:sz w:val="20"/>
                <w:szCs w:val="20"/>
                <w:color w:val="auto"/>
              </w:rPr>
            </w:pPr>
          </w:p>
        </w:tc>
      </w:tr>
      <w:tr>
        <w:trPr>
          <w:trHeight w:val="256"/>
        </w:trPr>
        <w:tc>
          <w:tcPr>
            <w:tcW w:w="1760" w:type="dxa"/>
            <w:vAlign w:val="bottom"/>
            <w:gridSpan w:val="2"/>
          </w:tcPr>
          <w:p>
            <w:pPr>
              <w:ind w:left="40"/>
              <w:spacing w:after="0"/>
              <w:rPr>
                <w:sz w:val="20"/>
                <w:szCs w:val="20"/>
                <w:color w:val="auto"/>
              </w:rPr>
            </w:pPr>
            <w:r>
              <w:rPr>
                <w:rFonts w:ascii="Arial" w:cs="Arial" w:eastAsia="Arial" w:hAnsi="Arial"/>
                <w:sz w:val="18"/>
                <w:szCs w:val="18"/>
                <w:color w:val="auto"/>
              </w:rPr>
              <w:t>104</w:t>
            </w:r>
          </w:p>
        </w:tc>
        <w:tc>
          <w:tcPr>
            <w:tcW w:w="120" w:type="dxa"/>
            <w:vAlign w:val="bottom"/>
          </w:tcPr>
          <w:p>
            <w:pPr>
              <w:spacing w:after="0"/>
              <w:rPr>
                <w:sz w:val="22"/>
                <w:szCs w:val="22"/>
                <w:color w:val="auto"/>
              </w:rPr>
            </w:pPr>
          </w:p>
        </w:tc>
        <w:tc>
          <w:tcPr>
            <w:tcW w:w="9360" w:type="dxa"/>
            <w:vAlign w:val="bottom"/>
            <w:gridSpan w:val="2"/>
          </w:tcPr>
          <w:p>
            <w:pPr>
              <w:spacing w:after="0"/>
              <w:rPr>
                <w:sz w:val="20"/>
                <w:szCs w:val="20"/>
                <w:color w:val="auto"/>
              </w:rPr>
            </w:pPr>
            <w:r>
              <w:rPr>
                <w:rFonts w:ascii="Arial" w:cs="Arial" w:eastAsia="Arial" w:hAnsi="Arial"/>
                <w:sz w:val="18"/>
                <w:szCs w:val="18"/>
                <w:color w:val="auto"/>
              </w:rPr>
              <w:t>Inline XBRL for the cover page of this Current Report on Form 8-K</w:t>
            </w:r>
          </w:p>
        </w:tc>
      </w:tr>
      <w:tr>
        <w:trPr>
          <w:trHeight w:val="1002"/>
        </w:trPr>
        <w:tc>
          <w:tcPr>
            <w:tcW w:w="20" w:type="dxa"/>
            <w:vAlign w:val="bottom"/>
            <w:tcBorders>
              <w:bottom w:val="single" w:sz="8" w:color="9A9A9A"/>
            </w:tcBorders>
          </w:tcPr>
          <w:p>
            <w:pPr>
              <w:spacing w:after="0"/>
              <w:rPr>
                <w:sz w:val="24"/>
                <w:szCs w:val="24"/>
                <w:color w:val="auto"/>
              </w:rPr>
            </w:pPr>
          </w:p>
        </w:tc>
        <w:tc>
          <w:tcPr>
            <w:tcW w:w="174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93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884" w:right="33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54" w:lineRule="exact"/>
        <w:rPr>
          <w:sz w:val="20"/>
          <w:szCs w:val="20"/>
          <w:color w:val="auto"/>
        </w:rPr>
      </w:pPr>
    </w:p>
    <w:p>
      <w:pPr>
        <w:spacing w:after="0" w:line="292"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66" w:lineRule="exact"/>
        <w:rPr>
          <w:sz w:val="20"/>
          <w:szCs w:val="20"/>
          <w:color w:val="auto"/>
        </w:rPr>
      </w:pPr>
    </w:p>
    <w:p>
      <w:pPr>
        <w:ind w:left="4000"/>
        <w:spacing w:after="0"/>
        <w:rPr>
          <w:sz w:val="20"/>
          <w:szCs w:val="20"/>
          <w:color w:val="auto"/>
        </w:rPr>
      </w:pPr>
      <w:r>
        <w:rPr>
          <w:rFonts w:ascii="Arial" w:cs="Arial" w:eastAsia="Arial" w:hAnsi="Arial"/>
          <w:sz w:val="18"/>
          <w:szCs w:val="18"/>
          <w:b w:val="1"/>
          <w:bCs w:val="1"/>
          <w:color w:val="auto"/>
        </w:rPr>
        <w:t>TechnipFMC plc</w:t>
      </w:r>
    </w:p>
    <w:p>
      <w:pPr>
        <w:spacing w:after="0" w:line="200" w:lineRule="exact"/>
        <w:rPr>
          <w:sz w:val="20"/>
          <w:szCs w:val="20"/>
          <w:color w:val="auto"/>
        </w:rPr>
      </w:pPr>
    </w:p>
    <w:p>
      <w:pPr>
        <w:spacing w:after="0" w:line="392" w:lineRule="exact"/>
        <w:rPr>
          <w:sz w:val="20"/>
          <w:szCs w:val="20"/>
          <w:color w:val="auto"/>
        </w:rPr>
      </w:pPr>
    </w:p>
    <w:p>
      <w:pPr>
        <w:ind w:left="4000"/>
        <w:spacing w:after="0"/>
        <w:rPr>
          <w:sz w:val="20"/>
          <w:szCs w:val="20"/>
          <w:color w:val="auto"/>
        </w:rPr>
      </w:pPr>
      <w:r>
        <w:rPr>
          <w:rFonts w:ascii="Arial" w:cs="Arial" w:eastAsia="Arial" w:hAnsi="Arial"/>
          <w:sz w:val="18"/>
          <w:szCs w:val="18"/>
          <w:color w:val="auto"/>
        </w:rPr>
        <w:t>By: /s/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2525395</wp:posOffset>
            </wp:positionH>
            <wp:positionV relativeFrom="paragraph">
              <wp:posOffset>28575</wp:posOffset>
            </wp:positionV>
            <wp:extent cx="40716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071620" cy="8255"/>
                    </a:xfrm>
                    <a:prstGeom prst="rect">
                      <a:avLst/>
                    </a:prstGeom>
                    <a:noFill/>
                  </pic:spPr>
                </pic:pic>
              </a:graphicData>
            </a:graphic>
          </wp:anchor>
        </w:drawing>
      </w:r>
    </w:p>
    <w:p>
      <w:pPr>
        <w:spacing w:after="0" w:line="30" w:lineRule="exact"/>
        <w:rPr>
          <w:sz w:val="20"/>
          <w:szCs w:val="20"/>
          <w:color w:val="auto"/>
        </w:rPr>
      </w:pPr>
    </w:p>
    <w:p>
      <w:pPr>
        <w:ind w:left="20"/>
        <w:spacing w:after="0"/>
        <w:tabs>
          <w:tab w:leader="none" w:pos="800" w:val="left"/>
          <w:tab w:leader="none" w:pos="3980" w:val="left"/>
        </w:tabs>
        <w:rPr>
          <w:sz w:val="20"/>
          <w:szCs w:val="20"/>
          <w:color w:val="auto"/>
        </w:rPr>
      </w:pPr>
      <w:r>
        <w:rPr>
          <w:rFonts w:ascii="Arial" w:cs="Arial" w:eastAsia="Arial" w:hAnsi="Arial"/>
          <w:sz w:val="18"/>
          <w:szCs w:val="18"/>
          <w:color w:val="auto"/>
        </w:rPr>
        <w:t>Dated:</w:t>
        <w:tab/>
        <w:t>October 21, 2020</w:t>
      </w:r>
      <w:r>
        <w:rPr>
          <w:sz w:val="20"/>
          <w:szCs w:val="20"/>
          <w:color w:val="auto"/>
        </w:rPr>
        <w:tab/>
      </w:r>
      <w:r>
        <w:rPr>
          <w:rFonts w:ascii="Arial" w:cs="Arial" w:eastAsia="Arial" w:hAnsi="Arial"/>
          <w:sz w:val="17"/>
          <w:szCs w:val="17"/>
          <w:color w:val="auto"/>
        </w:rPr>
        <w:t>Name: Maryann T. Mannen</w:t>
      </w:r>
    </w:p>
    <w:p>
      <w:pPr>
        <w:spacing w:after="0" w:line="50" w:lineRule="exact"/>
        <w:rPr>
          <w:sz w:val="20"/>
          <w:szCs w:val="20"/>
          <w:color w:val="auto"/>
        </w:rPr>
      </w:pPr>
    </w:p>
    <w:p>
      <w:pPr>
        <w:ind w:left="4000"/>
        <w:spacing w:after="0"/>
        <w:rPr>
          <w:sz w:val="20"/>
          <w:szCs w:val="20"/>
          <w:color w:val="auto"/>
        </w:rPr>
      </w:pPr>
      <w:r>
        <w:rPr>
          <w:rFonts w:ascii="Arial" w:cs="Arial" w:eastAsia="Arial" w:hAnsi="Arial"/>
          <w:sz w:val="18"/>
          <w:szCs w:val="18"/>
          <w:color w:val="auto"/>
        </w:rPr>
        <w:t>Title: Executive Vice President and Chief Financial Officer</w:t>
      </w:r>
    </w:p>
    <w:p>
      <w:pPr>
        <w:sectPr>
          <w:pgSz w:w="11900" w:h="16838" w:orient="portrait"/>
          <w:cols w:equalWidth="0" w:num="1">
            <w:col w:w="11220"/>
          </w:cols>
          <w:pgMar w:left="320" w:top="884" w:right="359" w:bottom="1440" w:gutter="0" w:footer="0" w:header="0"/>
        </w:sectPr>
      </w:pPr>
    </w:p>
    <w:bookmarkStart w:id="4" w:name="page5"/>
    <w:bookmarkEnd w:id="4"/>
    <w:p>
      <w:pPr>
        <w:spacing w:after="0"/>
        <w:rPr>
          <w:sz w:val="20"/>
          <w:szCs w:val="20"/>
          <w:color w:val="auto"/>
        </w:rPr>
      </w:pPr>
      <w:r>
        <w:rPr>
          <w:rFonts w:ascii="Arial" w:cs="Arial" w:eastAsia="Arial" w:hAnsi="Arial"/>
          <w:sz w:val="29"/>
          <w:szCs w:val="29"/>
          <w:color w:val="A6A6A6"/>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t>Press Release</w:t>
      </w:r>
    </w:p>
    <w:p>
      <w:pPr>
        <w:spacing w:after="0" w:line="328" w:lineRule="exact"/>
        <w:rPr>
          <w:sz w:val="20"/>
          <w:szCs w:val="20"/>
          <w:color w:val="auto"/>
        </w:rPr>
      </w:pPr>
    </w:p>
    <w:p>
      <w:pPr>
        <w:spacing w:after="0"/>
        <w:rPr>
          <w:sz w:val="20"/>
          <w:szCs w:val="20"/>
          <w:color w:val="auto"/>
        </w:rPr>
      </w:pPr>
      <w:r>
        <w:rPr>
          <w:rFonts w:ascii="Arial" w:cs="Arial" w:eastAsia="Arial" w:hAnsi="Arial"/>
          <w:sz w:val="29"/>
          <w:szCs w:val="29"/>
          <w:color w:val="auto"/>
        </w:rPr>
        <w:t>TechnipFMC Announces Third Quarter 2020 Results</w:t>
      </w:r>
    </w:p>
    <w:p>
      <w:pPr>
        <w:spacing w:after="0" w:line="123" w:lineRule="exact"/>
        <w:rPr>
          <w:sz w:val="20"/>
          <w:szCs w:val="20"/>
          <w:color w:val="auto"/>
        </w:rPr>
      </w:pPr>
    </w:p>
    <w:p>
      <w:pPr>
        <w:ind w:left="400" w:hanging="230"/>
        <w:spacing w:after="0"/>
        <w:tabs>
          <w:tab w:leader="none" w:pos="400"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Solid operational results driven by strong execution across all segments</w:t>
      </w:r>
    </w:p>
    <w:p>
      <w:pPr>
        <w:spacing w:after="0" w:line="27" w:lineRule="exact"/>
        <w:rPr>
          <w:rFonts w:ascii="Arial" w:cs="Arial" w:eastAsia="Arial" w:hAnsi="Arial"/>
          <w:sz w:val="20"/>
          <w:szCs w:val="20"/>
          <w:b w:val="1"/>
          <w:bCs w:val="1"/>
          <w:color w:val="auto"/>
        </w:rPr>
      </w:pPr>
    </w:p>
    <w:p>
      <w:pPr>
        <w:ind w:left="400" w:hanging="230"/>
        <w:spacing w:after="0"/>
        <w:tabs>
          <w:tab w:leader="none" w:pos="400"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Total Company inbound orders of $2.2 billion; Subsea book-to-bill of 1.1</w:t>
      </w:r>
    </w:p>
    <w:p>
      <w:pPr>
        <w:ind w:left="400" w:hanging="230"/>
        <w:spacing w:after="0"/>
        <w:tabs>
          <w:tab w:leader="none" w:pos="400"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Resilient backlog of $19.6 billion; $9.4 billion scheduled in 2021</w:t>
      </w:r>
    </w:p>
    <w:p>
      <w:pPr>
        <w:ind w:left="400" w:hanging="230"/>
        <w:spacing w:after="0"/>
        <w:tabs>
          <w:tab w:leader="none" w:pos="400"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Achieved targeted cost savings of more than $350 million ahead of schedule</w:t>
      </w:r>
    </w:p>
    <w:p>
      <w:pPr>
        <w:ind w:left="400" w:hanging="230"/>
        <w:spacing w:after="0"/>
        <w:tabs>
          <w:tab w:leader="none" w:pos="400"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Cash flow from operations of $168 million; free cash flow of $95 million</w:t>
      </w:r>
    </w:p>
    <w:p>
      <w:pPr>
        <w:spacing w:after="0" w:line="216" w:lineRule="exact"/>
        <w:rPr>
          <w:rFonts w:ascii="Arial" w:cs="Arial" w:eastAsia="Arial" w:hAnsi="Arial"/>
          <w:sz w:val="20"/>
          <w:szCs w:val="20"/>
          <w:b w:val="1"/>
          <w:bCs w:val="1"/>
          <w:color w:val="auto"/>
        </w:rPr>
      </w:pPr>
    </w:p>
    <w:p>
      <w:pPr>
        <w:ind w:left="400" w:hanging="230"/>
        <w:spacing w:after="0"/>
        <w:tabs>
          <w:tab w:leader="none" w:pos="400" w:val="left"/>
        </w:tabs>
        <w:numPr>
          <w:ilvl w:val="0"/>
          <w:numId w:val="2"/>
        </w:numPr>
        <w:rPr>
          <w:rFonts w:ascii="Arial" w:cs="Arial" w:eastAsia="Arial" w:hAnsi="Arial"/>
          <w:sz w:val="20"/>
          <w:szCs w:val="20"/>
          <w:color w:val="auto"/>
        </w:rPr>
      </w:pPr>
      <w:r>
        <w:rPr>
          <w:rFonts w:ascii="Arial" w:cs="Arial" w:eastAsia="Arial" w:hAnsi="Arial"/>
          <w:sz w:val="20"/>
          <w:szCs w:val="20"/>
          <w:color w:val="auto"/>
        </w:rPr>
        <w:t>U.S. GAAP diluted loss per share was $0.01</w:t>
      </w:r>
    </w:p>
    <w:p>
      <w:pPr>
        <w:spacing w:after="0" w:line="25" w:lineRule="exact"/>
        <w:rPr>
          <w:rFonts w:ascii="Arial" w:cs="Arial" w:eastAsia="Arial" w:hAnsi="Arial"/>
          <w:sz w:val="20"/>
          <w:szCs w:val="20"/>
          <w:color w:val="auto"/>
        </w:rPr>
      </w:pPr>
    </w:p>
    <w:p>
      <w:pPr>
        <w:ind w:left="640" w:hanging="227"/>
        <w:spacing w:after="0"/>
        <w:tabs>
          <w:tab w:leader="none" w:pos="640" w:val="left"/>
        </w:tabs>
        <w:numPr>
          <w:ilvl w:val="1"/>
          <w:numId w:val="2"/>
        </w:numPr>
        <w:rPr>
          <w:rFonts w:ascii="Arial" w:cs="Arial" w:eastAsia="Arial" w:hAnsi="Arial"/>
          <w:sz w:val="20"/>
          <w:szCs w:val="20"/>
          <w:color w:val="auto"/>
        </w:rPr>
      </w:pPr>
      <w:r>
        <w:rPr>
          <w:rFonts w:ascii="Arial" w:cs="Arial" w:eastAsia="Arial" w:hAnsi="Arial"/>
          <w:sz w:val="20"/>
          <w:szCs w:val="20"/>
          <w:color w:val="auto"/>
        </w:rPr>
        <w:t>Includes total after-tax charges, net of credits, of $0.17 per diluted share</w:t>
      </w:r>
    </w:p>
    <w:p>
      <w:pPr>
        <w:ind w:left="400" w:hanging="230"/>
        <w:spacing w:after="0"/>
        <w:tabs>
          <w:tab w:leader="none" w:pos="400" w:val="left"/>
        </w:tabs>
        <w:numPr>
          <w:ilvl w:val="0"/>
          <w:numId w:val="2"/>
        </w:numPr>
        <w:rPr>
          <w:rFonts w:ascii="Arial" w:cs="Arial" w:eastAsia="Arial" w:hAnsi="Arial"/>
          <w:sz w:val="20"/>
          <w:szCs w:val="20"/>
          <w:color w:val="auto"/>
        </w:rPr>
      </w:pPr>
      <w:r>
        <w:rPr>
          <w:rFonts w:ascii="Arial" w:cs="Arial" w:eastAsia="Arial" w:hAnsi="Arial"/>
          <w:sz w:val="20"/>
          <w:szCs w:val="20"/>
          <w:color w:val="auto"/>
        </w:rPr>
        <w:t>Adjusted diluted earnings per share, excluding charges and credits, was $0.16</w:t>
      </w:r>
    </w:p>
    <w:p>
      <w:pPr>
        <w:ind w:left="640" w:hanging="227"/>
        <w:spacing w:after="0"/>
        <w:tabs>
          <w:tab w:leader="none" w:pos="640" w:val="left"/>
        </w:tabs>
        <w:numPr>
          <w:ilvl w:val="1"/>
          <w:numId w:val="2"/>
        </w:numPr>
        <w:rPr>
          <w:rFonts w:ascii="Arial" w:cs="Arial" w:eastAsia="Arial" w:hAnsi="Arial"/>
          <w:sz w:val="20"/>
          <w:szCs w:val="20"/>
          <w:color w:val="auto"/>
        </w:rPr>
      </w:pPr>
      <w:r>
        <w:rPr>
          <w:rFonts w:ascii="Arial" w:cs="Arial" w:eastAsia="Arial" w:hAnsi="Arial"/>
          <w:sz w:val="20"/>
          <w:szCs w:val="20"/>
          <w:color w:val="auto"/>
        </w:rPr>
        <w:t>Includes foreign exchange gains of $0.02 per diluted share</w:t>
      </w:r>
    </w:p>
    <w:p>
      <w:pPr>
        <w:ind w:left="640" w:hanging="227"/>
        <w:spacing w:after="0"/>
        <w:tabs>
          <w:tab w:leader="none" w:pos="640" w:val="left"/>
        </w:tabs>
        <w:numPr>
          <w:ilvl w:val="1"/>
          <w:numId w:val="2"/>
        </w:numPr>
        <w:rPr>
          <w:rFonts w:ascii="Arial" w:cs="Arial" w:eastAsia="Arial" w:hAnsi="Arial"/>
          <w:sz w:val="20"/>
          <w:szCs w:val="20"/>
          <w:color w:val="auto"/>
        </w:rPr>
      </w:pPr>
      <w:r>
        <w:rPr>
          <w:rFonts w:ascii="Arial" w:cs="Arial" w:eastAsia="Arial" w:hAnsi="Arial"/>
          <w:sz w:val="20"/>
          <w:szCs w:val="20"/>
          <w:color w:val="auto"/>
        </w:rPr>
        <w:t>Includes expense resulting from increased liability to joint venture partners of $0.14 per diluted share</w:t>
      </w:r>
    </w:p>
    <w:p>
      <w:pPr>
        <w:spacing w:after="0" w:line="215" w:lineRule="exact"/>
        <w:rPr>
          <w:sz w:val="20"/>
          <w:szCs w:val="20"/>
          <w:color w:val="auto"/>
        </w:rPr>
      </w:pPr>
    </w:p>
    <w:p>
      <w:pPr>
        <w:ind w:right="180"/>
        <w:spacing w:after="0" w:line="282" w:lineRule="auto"/>
        <w:rPr>
          <w:sz w:val="20"/>
          <w:szCs w:val="20"/>
          <w:color w:val="auto"/>
        </w:rPr>
      </w:pPr>
      <w:r>
        <w:rPr>
          <w:rFonts w:ascii="Arial" w:cs="Arial" w:eastAsia="Arial" w:hAnsi="Arial"/>
          <w:sz w:val="20"/>
          <w:szCs w:val="20"/>
          <w:b w:val="1"/>
          <w:bCs w:val="1"/>
          <w:color w:val="auto"/>
        </w:rPr>
        <w:t xml:space="preserve">LONDON, PARIS, HOUSTON, October 21, 2020 - </w:t>
      </w:r>
      <w:r>
        <w:rPr>
          <w:rFonts w:ascii="Arial" w:cs="Arial" w:eastAsia="Arial" w:hAnsi="Arial"/>
          <w:sz w:val="20"/>
          <w:szCs w:val="20"/>
          <w:color w:val="auto"/>
        </w:rPr>
        <w:t>TechnipFMC plc (NYSE: FTI) (Paris: FTI) today reported third quarter 2020</w:t>
      </w:r>
      <w:r>
        <w:rPr>
          <w:rFonts w:ascii="Arial" w:cs="Arial" w:eastAsia="Arial" w:hAnsi="Arial"/>
          <w:sz w:val="20"/>
          <w:szCs w:val="20"/>
          <w:b w:val="1"/>
          <w:bCs w:val="1"/>
          <w:color w:val="auto"/>
        </w:rPr>
        <w:t xml:space="preserve"> </w:t>
      </w:r>
      <w:r>
        <w:rPr>
          <w:rFonts w:ascii="Arial" w:cs="Arial" w:eastAsia="Arial" w:hAnsi="Arial"/>
          <w:sz w:val="20"/>
          <w:szCs w:val="20"/>
          <w:color w:val="auto"/>
        </w:rPr>
        <w:t>results.</w:t>
      </w:r>
    </w:p>
    <w:p>
      <w:pPr>
        <w:spacing w:after="0" w:line="8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Summary Financial Statements - Third Quarter 2020</w:t>
      </w:r>
    </w:p>
    <w:p>
      <w:pPr>
        <w:spacing w:after="0" w:line="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Reconciliation of U.S. GAAP to non-GAAP financial measures are below and in financial schedules.</w:t>
      </w:r>
    </w:p>
    <w:p>
      <w:pPr>
        <w:spacing w:after="0" w:line="125" w:lineRule="exact"/>
        <w:rPr>
          <w:sz w:val="20"/>
          <w:szCs w:val="20"/>
          <w:color w:val="auto"/>
        </w:rPr>
      </w:pPr>
    </w:p>
    <w:tbl>
      <w:tblPr>
        <w:tblLayout w:type="fixed"/>
        <w:tblInd w:w="10" w:type="dxa"/>
        <w:tblCellMar>
          <w:top w:w="0" w:type="dxa"/>
          <w:left w:w="0" w:type="dxa"/>
          <w:bottom w:w="0" w:type="dxa"/>
          <w:right w:w="0" w:type="dxa"/>
        </w:tblCellMar>
      </w:tblPr>
      <w:tr>
        <w:trPr>
          <w:trHeight w:val="187"/>
        </w:trPr>
        <w:tc>
          <w:tcPr>
            <w:tcW w:w="5680" w:type="dxa"/>
            <w:vAlign w:val="bottom"/>
            <w:tcBorders>
              <w:top w:val="single" w:sz="8" w:color="B8CCE4"/>
              <w:left w:val="single" w:sz="8" w:color="B8CCE4"/>
              <w:right w:val="single" w:sz="8" w:color="B8CCE4"/>
            </w:tcBorders>
          </w:tcPr>
          <w:p>
            <w:pPr>
              <w:ind w:left="40"/>
              <w:spacing w:after="0"/>
              <w:rPr>
                <w:sz w:val="20"/>
                <w:szCs w:val="20"/>
                <w:color w:val="auto"/>
              </w:rPr>
            </w:pPr>
            <w:r>
              <w:rPr>
                <w:rFonts w:ascii="Arial" w:cs="Arial" w:eastAsia="Arial" w:hAnsi="Arial"/>
                <w:sz w:val="14"/>
                <w:szCs w:val="14"/>
                <w:b w:val="1"/>
                <w:bCs w:val="1"/>
                <w:color w:val="auto"/>
              </w:rPr>
              <w:t>Three Months Ended</w:t>
            </w:r>
          </w:p>
        </w:tc>
        <w:tc>
          <w:tcPr>
            <w:tcW w:w="1900" w:type="dxa"/>
            <w:vAlign w:val="bottom"/>
            <w:tcBorders>
              <w:top w:val="single" w:sz="8" w:color="B8CCE4"/>
              <w:right w:val="single" w:sz="8" w:color="B8CCE4"/>
            </w:tcBorders>
          </w:tcPr>
          <w:p>
            <w:pPr>
              <w:jc w:val="right"/>
              <w:ind w:right="386"/>
              <w:spacing w:after="0"/>
              <w:rPr>
                <w:sz w:val="20"/>
                <w:szCs w:val="20"/>
                <w:color w:val="auto"/>
              </w:rPr>
            </w:pPr>
            <w:r>
              <w:rPr>
                <w:rFonts w:ascii="Arial" w:cs="Arial" w:eastAsia="Arial" w:hAnsi="Arial"/>
                <w:sz w:val="14"/>
                <w:szCs w:val="14"/>
                <w:b w:val="1"/>
                <w:bCs w:val="1"/>
                <w:color w:val="auto"/>
              </w:rPr>
              <w:t>September 30,</w:t>
            </w:r>
          </w:p>
        </w:tc>
        <w:tc>
          <w:tcPr>
            <w:tcW w:w="1920" w:type="dxa"/>
            <w:vAlign w:val="bottom"/>
            <w:tcBorders>
              <w:top w:val="single" w:sz="8" w:color="B8CCE4"/>
              <w:right w:val="single" w:sz="8" w:color="B8CCE4"/>
            </w:tcBorders>
          </w:tcPr>
          <w:p>
            <w:pPr>
              <w:jc w:val="right"/>
              <w:ind w:right="386"/>
              <w:spacing w:after="0"/>
              <w:rPr>
                <w:sz w:val="20"/>
                <w:szCs w:val="20"/>
                <w:color w:val="auto"/>
              </w:rPr>
            </w:pPr>
            <w:r>
              <w:rPr>
                <w:rFonts w:ascii="Arial" w:cs="Arial" w:eastAsia="Arial" w:hAnsi="Arial"/>
                <w:sz w:val="14"/>
                <w:szCs w:val="14"/>
                <w:b w:val="1"/>
                <w:bCs w:val="1"/>
                <w:color w:val="auto"/>
              </w:rPr>
              <w:t>September 30,</w:t>
            </w:r>
          </w:p>
        </w:tc>
        <w:tc>
          <w:tcPr>
            <w:tcW w:w="1760" w:type="dxa"/>
            <w:vAlign w:val="bottom"/>
            <w:tcBorders>
              <w:top w:val="single" w:sz="8" w:color="B8CCE4"/>
              <w:right w:val="single" w:sz="8" w:color="B8CCE4"/>
            </w:tcBorders>
          </w:tcPr>
          <w:p>
            <w:pPr>
              <w:spacing w:after="0"/>
              <w:rPr>
                <w:sz w:val="16"/>
                <w:szCs w:val="16"/>
                <w:color w:val="auto"/>
              </w:rPr>
            </w:pPr>
          </w:p>
        </w:tc>
      </w:tr>
      <w:tr>
        <w:trPr>
          <w:trHeight w:val="203"/>
        </w:trPr>
        <w:tc>
          <w:tcPr>
            <w:tcW w:w="568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14"/>
                <w:szCs w:val="14"/>
                <w:b w:val="1"/>
                <w:bCs w:val="1"/>
                <w:color w:val="auto"/>
              </w:rPr>
              <w:t>(In millions, except per share amounts)</w:t>
            </w:r>
          </w:p>
        </w:tc>
        <w:tc>
          <w:tcPr>
            <w:tcW w:w="1900" w:type="dxa"/>
            <w:vAlign w:val="bottom"/>
            <w:tcBorders>
              <w:bottom w:val="single" w:sz="8" w:color="B8CCE4"/>
              <w:right w:val="single" w:sz="8" w:color="B8CCE4"/>
            </w:tcBorders>
          </w:tcPr>
          <w:p>
            <w:pPr>
              <w:jc w:val="right"/>
              <w:ind w:right="726"/>
              <w:spacing w:after="0"/>
              <w:rPr>
                <w:sz w:val="20"/>
                <w:szCs w:val="20"/>
                <w:color w:val="auto"/>
              </w:rPr>
            </w:pPr>
            <w:r>
              <w:rPr>
                <w:rFonts w:ascii="Arial" w:cs="Arial" w:eastAsia="Arial" w:hAnsi="Arial"/>
                <w:sz w:val="14"/>
                <w:szCs w:val="14"/>
                <w:b w:val="1"/>
                <w:bCs w:val="1"/>
                <w:color w:val="auto"/>
              </w:rPr>
              <w:t>2020</w:t>
            </w:r>
          </w:p>
        </w:tc>
        <w:tc>
          <w:tcPr>
            <w:tcW w:w="1920" w:type="dxa"/>
            <w:vAlign w:val="bottom"/>
            <w:tcBorders>
              <w:bottom w:val="single" w:sz="8" w:color="B8CCE4"/>
              <w:right w:val="single" w:sz="8" w:color="B8CCE4"/>
            </w:tcBorders>
          </w:tcPr>
          <w:p>
            <w:pPr>
              <w:jc w:val="right"/>
              <w:ind w:right="726"/>
              <w:spacing w:after="0"/>
              <w:rPr>
                <w:sz w:val="20"/>
                <w:szCs w:val="20"/>
                <w:color w:val="auto"/>
              </w:rPr>
            </w:pPr>
            <w:r>
              <w:rPr>
                <w:rFonts w:ascii="Arial" w:cs="Arial" w:eastAsia="Arial" w:hAnsi="Arial"/>
                <w:sz w:val="14"/>
                <w:szCs w:val="14"/>
                <w:b w:val="1"/>
                <w:bCs w:val="1"/>
                <w:color w:val="auto"/>
              </w:rPr>
              <w:t>2019</w:t>
            </w:r>
          </w:p>
        </w:tc>
        <w:tc>
          <w:tcPr>
            <w:tcW w:w="17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14"/>
                <w:szCs w:val="14"/>
                <w:b w:val="1"/>
                <w:bCs w:val="1"/>
                <w:color w:val="auto"/>
              </w:rPr>
              <w:t>Change</w:t>
            </w:r>
          </w:p>
        </w:tc>
      </w:tr>
      <w:tr>
        <w:trPr>
          <w:trHeight w:val="265"/>
        </w:trPr>
        <w:tc>
          <w:tcPr>
            <w:tcW w:w="568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Revenue</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$3,335.7</w:t>
            </w:r>
          </w:p>
        </w:tc>
        <w:tc>
          <w:tcPr>
            <w:tcW w:w="19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$3,335.1</w:t>
            </w:r>
          </w:p>
        </w:tc>
        <w:tc>
          <w:tcPr>
            <w:tcW w:w="17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rPr>
              <w:t>0.0%</w:t>
            </w:r>
          </w:p>
        </w:tc>
      </w:tr>
      <w:tr>
        <w:trPr>
          <w:trHeight w:val="263"/>
        </w:trPr>
        <w:tc>
          <w:tcPr>
            <w:tcW w:w="568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Net income (loss)</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$(3.9)</w:t>
            </w:r>
          </w:p>
        </w:tc>
        <w:tc>
          <w:tcPr>
            <w:tcW w:w="19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$(119.1)</w:t>
            </w:r>
          </w:p>
        </w:tc>
        <w:tc>
          <w:tcPr>
            <w:tcW w:w="17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rPr>
              <w:t>n/m</w:t>
            </w:r>
          </w:p>
        </w:tc>
      </w:tr>
      <w:tr>
        <w:trPr>
          <w:trHeight w:val="263"/>
        </w:trPr>
        <w:tc>
          <w:tcPr>
            <w:tcW w:w="568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Diluted earnings (loss) per share</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$(0.01)</w:t>
            </w:r>
          </w:p>
        </w:tc>
        <w:tc>
          <w:tcPr>
            <w:tcW w:w="19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$(0.27)</w:t>
            </w:r>
          </w:p>
        </w:tc>
        <w:tc>
          <w:tcPr>
            <w:tcW w:w="17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rPr>
              <w:t>n/m</w:t>
            </w:r>
          </w:p>
        </w:tc>
      </w:tr>
      <w:tr>
        <w:trPr>
          <w:trHeight w:val="250"/>
        </w:trPr>
        <w:tc>
          <w:tcPr>
            <w:tcW w:w="5680" w:type="dxa"/>
            <w:vAlign w:val="bottom"/>
            <w:tcBorders>
              <w:left w:val="single" w:sz="8" w:color="B8CCE4"/>
              <w:bottom w:val="single" w:sz="8" w:color="B8CCE4"/>
            </w:tcBorders>
          </w:tcPr>
          <w:p>
            <w:pPr>
              <w:spacing w:after="0"/>
              <w:rPr>
                <w:sz w:val="21"/>
                <w:szCs w:val="21"/>
                <w:color w:val="auto"/>
              </w:rPr>
            </w:pPr>
          </w:p>
        </w:tc>
        <w:tc>
          <w:tcPr>
            <w:tcW w:w="1900" w:type="dxa"/>
            <w:vAlign w:val="bottom"/>
            <w:tcBorders>
              <w:bottom w:val="single" w:sz="8" w:color="B8CCE4"/>
            </w:tcBorders>
          </w:tcPr>
          <w:p>
            <w:pPr>
              <w:spacing w:after="0"/>
              <w:rPr>
                <w:sz w:val="21"/>
                <w:szCs w:val="21"/>
                <w:color w:val="auto"/>
              </w:rPr>
            </w:pPr>
          </w:p>
        </w:tc>
        <w:tc>
          <w:tcPr>
            <w:tcW w:w="1920" w:type="dxa"/>
            <w:vAlign w:val="bottom"/>
            <w:tcBorders>
              <w:bottom w:val="single" w:sz="8" w:color="B8CCE4"/>
            </w:tcBorders>
          </w:tcPr>
          <w:p>
            <w:pPr>
              <w:spacing w:after="0"/>
              <w:rPr>
                <w:sz w:val="21"/>
                <w:szCs w:val="21"/>
                <w:color w:val="auto"/>
              </w:rPr>
            </w:pPr>
          </w:p>
        </w:tc>
        <w:tc>
          <w:tcPr>
            <w:tcW w:w="1760" w:type="dxa"/>
            <w:vAlign w:val="bottom"/>
            <w:tcBorders>
              <w:bottom w:val="single" w:sz="8" w:color="B8CCE4"/>
              <w:right w:val="single" w:sz="8" w:color="B8CCE4"/>
            </w:tcBorders>
          </w:tcPr>
          <w:p>
            <w:pPr>
              <w:spacing w:after="0"/>
              <w:rPr>
                <w:sz w:val="21"/>
                <w:szCs w:val="21"/>
                <w:color w:val="auto"/>
              </w:rPr>
            </w:pPr>
          </w:p>
        </w:tc>
      </w:tr>
      <w:tr>
        <w:trPr>
          <w:trHeight w:val="264"/>
        </w:trPr>
        <w:tc>
          <w:tcPr>
            <w:tcW w:w="568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Adjusted EBITDA</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$321.2</w:t>
            </w:r>
          </w:p>
        </w:tc>
        <w:tc>
          <w:tcPr>
            <w:tcW w:w="19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$379.2</w:t>
            </w:r>
          </w:p>
        </w:tc>
        <w:tc>
          <w:tcPr>
            <w:tcW w:w="17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9"/>
              </w:rPr>
              <w:t>(15.3%)</w:t>
            </w:r>
          </w:p>
        </w:tc>
      </w:tr>
      <w:tr>
        <w:trPr>
          <w:trHeight w:val="263"/>
        </w:trPr>
        <w:tc>
          <w:tcPr>
            <w:tcW w:w="568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Adjusted EBITDA margin</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9.6 %</w:t>
            </w:r>
          </w:p>
        </w:tc>
        <w:tc>
          <w:tcPr>
            <w:tcW w:w="19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11.4 %</w:t>
            </w:r>
          </w:p>
        </w:tc>
        <w:tc>
          <w:tcPr>
            <w:tcW w:w="17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7"/>
              </w:rPr>
              <w:t>(180 bps)</w:t>
            </w:r>
          </w:p>
        </w:tc>
      </w:tr>
      <w:tr>
        <w:trPr>
          <w:trHeight w:val="263"/>
        </w:trPr>
        <w:tc>
          <w:tcPr>
            <w:tcW w:w="568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Adjusted net income</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$72.2</w:t>
            </w:r>
          </w:p>
        </w:tc>
        <w:tc>
          <w:tcPr>
            <w:tcW w:w="19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$53.8</w:t>
            </w:r>
          </w:p>
        </w:tc>
        <w:tc>
          <w:tcPr>
            <w:tcW w:w="17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8"/>
              </w:rPr>
              <w:t>34.2%</w:t>
            </w:r>
          </w:p>
        </w:tc>
      </w:tr>
      <w:tr>
        <w:trPr>
          <w:trHeight w:val="264"/>
        </w:trPr>
        <w:tc>
          <w:tcPr>
            <w:tcW w:w="568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Adjusted diluted earnings per share</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$0.16</w:t>
            </w:r>
          </w:p>
        </w:tc>
        <w:tc>
          <w:tcPr>
            <w:tcW w:w="19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$0.12</w:t>
            </w:r>
          </w:p>
        </w:tc>
        <w:tc>
          <w:tcPr>
            <w:tcW w:w="17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8"/>
              </w:rPr>
              <w:t>33.3%</w:t>
            </w:r>
          </w:p>
        </w:tc>
      </w:tr>
      <w:tr>
        <w:trPr>
          <w:trHeight w:val="250"/>
        </w:trPr>
        <w:tc>
          <w:tcPr>
            <w:tcW w:w="5680" w:type="dxa"/>
            <w:vAlign w:val="bottom"/>
            <w:tcBorders>
              <w:left w:val="single" w:sz="8" w:color="B8CCE4"/>
              <w:bottom w:val="single" w:sz="8" w:color="B8CCE4"/>
            </w:tcBorders>
          </w:tcPr>
          <w:p>
            <w:pPr>
              <w:spacing w:after="0"/>
              <w:rPr>
                <w:sz w:val="21"/>
                <w:szCs w:val="21"/>
                <w:color w:val="auto"/>
              </w:rPr>
            </w:pPr>
          </w:p>
        </w:tc>
        <w:tc>
          <w:tcPr>
            <w:tcW w:w="1900" w:type="dxa"/>
            <w:vAlign w:val="bottom"/>
            <w:tcBorders>
              <w:bottom w:val="single" w:sz="8" w:color="B8CCE4"/>
            </w:tcBorders>
          </w:tcPr>
          <w:p>
            <w:pPr>
              <w:spacing w:after="0"/>
              <w:rPr>
                <w:sz w:val="21"/>
                <w:szCs w:val="21"/>
                <w:color w:val="auto"/>
              </w:rPr>
            </w:pPr>
          </w:p>
        </w:tc>
        <w:tc>
          <w:tcPr>
            <w:tcW w:w="1920" w:type="dxa"/>
            <w:vAlign w:val="bottom"/>
            <w:tcBorders>
              <w:bottom w:val="single" w:sz="8" w:color="B8CCE4"/>
            </w:tcBorders>
          </w:tcPr>
          <w:p>
            <w:pPr>
              <w:spacing w:after="0"/>
              <w:rPr>
                <w:sz w:val="21"/>
                <w:szCs w:val="21"/>
                <w:color w:val="auto"/>
              </w:rPr>
            </w:pPr>
          </w:p>
        </w:tc>
        <w:tc>
          <w:tcPr>
            <w:tcW w:w="1760" w:type="dxa"/>
            <w:vAlign w:val="bottom"/>
            <w:tcBorders>
              <w:bottom w:val="single" w:sz="8" w:color="B8CCE4"/>
              <w:right w:val="single" w:sz="8" w:color="B8CCE4"/>
            </w:tcBorders>
          </w:tcPr>
          <w:p>
            <w:pPr>
              <w:spacing w:after="0"/>
              <w:rPr>
                <w:sz w:val="21"/>
                <w:szCs w:val="21"/>
                <w:color w:val="auto"/>
              </w:rPr>
            </w:pPr>
          </w:p>
        </w:tc>
      </w:tr>
      <w:tr>
        <w:trPr>
          <w:trHeight w:val="263"/>
        </w:trPr>
        <w:tc>
          <w:tcPr>
            <w:tcW w:w="568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Inbound orders</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$2,227.4</w:t>
            </w:r>
          </w:p>
        </w:tc>
        <w:tc>
          <w:tcPr>
            <w:tcW w:w="19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$2,610.6</w:t>
            </w:r>
          </w:p>
        </w:tc>
        <w:tc>
          <w:tcPr>
            <w:tcW w:w="17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9"/>
              </w:rPr>
              <w:t>(14.7%)</w:t>
            </w:r>
          </w:p>
        </w:tc>
      </w:tr>
      <w:tr>
        <w:trPr>
          <w:trHeight w:val="263"/>
        </w:trPr>
        <w:tc>
          <w:tcPr>
            <w:tcW w:w="568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Backlog</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$19,646.1</w:t>
            </w:r>
          </w:p>
        </w:tc>
        <w:tc>
          <w:tcPr>
            <w:tcW w:w="19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$24,115.3</w:t>
            </w:r>
          </w:p>
        </w:tc>
        <w:tc>
          <w:tcPr>
            <w:tcW w:w="17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9"/>
              </w:rPr>
              <w:t>(18.5%)</w:t>
            </w:r>
          </w:p>
        </w:tc>
      </w:tr>
    </w:tbl>
    <w:p>
      <w:pPr>
        <w:spacing w:after="0" w:line="186" w:lineRule="exact"/>
        <w:rPr>
          <w:sz w:val="20"/>
          <w:szCs w:val="20"/>
          <w:color w:val="auto"/>
        </w:rPr>
      </w:pPr>
    </w:p>
    <w:p>
      <w:pPr>
        <w:jc w:val="both"/>
        <w:ind w:right="20"/>
        <w:spacing w:after="0" w:line="259" w:lineRule="auto"/>
        <w:rPr>
          <w:sz w:val="20"/>
          <w:szCs w:val="20"/>
          <w:color w:val="auto"/>
        </w:rPr>
      </w:pPr>
      <w:r>
        <w:rPr>
          <w:rFonts w:ascii="Arial" w:cs="Arial" w:eastAsia="Arial" w:hAnsi="Arial"/>
          <w:sz w:val="20"/>
          <w:szCs w:val="20"/>
          <w:color w:val="auto"/>
        </w:rPr>
        <w:t>Total Company revenue was $3,335.7 million. Net loss was $ 3.9 million, or $0.01 per diluted share. These results included after-tax charges and credits totaling $76.1 million of expense, or $0.17 per diluted share. Adjusted net income was $72.2 million, or $0.16 per diluted share.</w:t>
      </w:r>
    </w:p>
    <w:p>
      <w:pPr>
        <w:spacing w:after="0" w:line="160" w:lineRule="exact"/>
        <w:rPr>
          <w:sz w:val="20"/>
          <w:szCs w:val="20"/>
          <w:color w:val="auto"/>
        </w:rPr>
      </w:pPr>
    </w:p>
    <w:p>
      <w:pPr>
        <w:jc w:val="both"/>
        <w:ind w:right="20"/>
        <w:spacing w:after="0" w:line="280" w:lineRule="auto"/>
        <w:rPr>
          <w:sz w:val="20"/>
          <w:szCs w:val="20"/>
          <w:color w:val="auto"/>
        </w:rPr>
      </w:pPr>
      <w:r>
        <w:rPr>
          <w:rFonts w:ascii="Arial" w:cs="Arial" w:eastAsia="Arial" w:hAnsi="Arial"/>
          <w:sz w:val="20"/>
          <w:szCs w:val="20"/>
          <w:color w:val="auto"/>
        </w:rPr>
        <w:t>Adjusted EBITDA, which excludes pre-tax charges and credits, was $321.2 million and included a foreign exchange gain of $5.6 million; adjusted EBITDA margin was 9.6 percent (Exhibit 10).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5040"/>
        <w:spacing w:after="0"/>
        <w:tabs>
          <w:tab w:leader="none" w:pos="1034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1 of 26</w:t>
      </w:r>
    </w:p>
    <w:p>
      <w:pPr>
        <w:sectPr>
          <w:pgSz w:w="11900" w:h="16838" w:orient="portrait"/>
          <w:cols w:equalWidth="0" w:num="1">
            <w:col w:w="11260"/>
          </w:cols>
          <w:pgMar w:left="320" w:top="1393" w:right="319" w:bottom="1440" w:gutter="0" w:footer="0" w:header="0"/>
        </w:sectPr>
      </w:pPr>
    </w:p>
    <w:bookmarkStart w:id="5" w:name="page6"/>
    <w:bookmarkEnd w:id="5"/>
    <w:p>
      <w:pPr>
        <w:jc w:val="both"/>
        <w:spacing w:after="0" w:line="249" w:lineRule="auto"/>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t>Doug Pferdehirt, Chairman and CEO of TechnipFMC, stated, “We delivered strong operational results in the third quarter. All three segments delivered sequential improvement in adjusted EBITDA margin, with total Company adjusted EBITDA of $321 million and a margin of 9.6 percent. These results were achieved working collaboratively with our clients, where our innovative solutions, demonstrated execution excellence and financial strength enabled our project portfolio to progress through a challenging period.”</w:t>
      </w:r>
    </w:p>
    <w:p>
      <w:pPr>
        <w:spacing w:after="0" w:line="49" w:lineRule="exact"/>
        <w:rPr>
          <w:sz w:val="20"/>
          <w:szCs w:val="20"/>
          <w:color w:val="auto"/>
        </w:rPr>
      </w:pPr>
    </w:p>
    <w:p>
      <w:pPr>
        <w:jc w:val="both"/>
        <w:spacing w:after="0" w:line="249" w:lineRule="auto"/>
        <w:rPr>
          <w:sz w:val="20"/>
          <w:szCs w:val="20"/>
          <w:color w:val="auto"/>
        </w:rPr>
      </w:pPr>
      <w:r>
        <w:rPr>
          <w:rFonts w:ascii="Arial" w:cs="Arial" w:eastAsia="Arial" w:hAnsi="Arial"/>
          <w:sz w:val="20"/>
          <w:szCs w:val="20"/>
          <w:color w:val="auto"/>
        </w:rPr>
        <w:t>Pferdehirt added, “As our clients continue to re-prioritize their portfolio investments, we have seen an increase in our award activity. Inbound orders of more than $2.2 billion represent our strongest quarter of the year and a sequential increase of 45 percent, largely driven by Subsea where we were awarded notable projects in South America and Norway. With the services and project activity forecast for the remainder of the year, we remain confident in achieving $4 billion of Subsea inbound orders for 2020.”</w:t>
      </w:r>
    </w:p>
    <w:p>
      <w:pPr>
        <w:spacing w:after="0" w:line="35"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“Technip Energies secured an EPC contract for the Assiut Hydrocracking Complex, which we expect will be inbound by year-end. We also announced a revamp project at Shell’s Moerdijk plant, demonstrating both our leadership in ethylene technology and our ability to reduce CO</w:t>
      </w:r>
      <w:r>
        <w:rPr>
          <w:rFonts w:ascii="Arial" w:cs="Arial" w:eastAsia="Arial" w:hAnsi="Arial"/>
          <w:sz w:val="25"/>
          <w:szCs w:val="25"/>
          <w:color w:val="auto"/>
          <w:vertAlign w:val="subscript"/>
        </w:rPr>
        <w:t>2</w:t>
      </w:r>
      <w:r>
        <w:rPr>
          <w:rFonts w:ascii="Arial" w:cs="Arial" w:eastAsia="Arial" w:hAnsi="Arial"/>
          <w:sz w:val="20"/>
          <w:szCs w:val="20"/>
          <w:color w:val="auto"/>
        </w:rPr>
        <w:t xml:space="preserve"> emissions.”</w:t>
      </w:r>
    </w:p>
    <w:p>
      <w:pPr>
        <w:spacing w:after="0" w:line="54" w:lineRule="exact"/>
        <w:rPr>
          <w:sz w:val="20"/>
          <w:szCs w:val="20"/>
          <w:color w:val="auto"/>
        </w:rPr>
      </w:pPr>
    </w:p>
    <w:p>
      <w:pPr>
        <w:jc w:val="both"/>
        <w:spacing w:after="0" w:line="259" w:lineRule="auto"/>
        <w:rPr>
          <w:sz w:val="20"/>
          <w:szCs w:val="20"/>
          <w:color w:val="auto"/>
        </w:rPr>
      </w:pPr>
      <w:r>
        <w:rPr>
          <w:rFonts w:ascii="Arial" w:cs="Arial" w:eastAsia="Arial" w:hAnsi="Arial"/>
          <w:sz w:val="20"/>
          <w:szCs w:val="20"/>
          <w:color w:val="auto"/>
        </w:rPr>
        <w:t>“And in Surface Technologies, we continued to leverage the strength and resilience of our international franchise with two important growth opportunities captured in the Middle East. These awards provide us the opportunity to further expand our market share of high-specification equipment across the region.”</w:t>
      </w:r>
    </w:p>
    <w:p>
      <w:pPr>
        <w:spacing w:after="0" w:line="38" w:lineRule="exact"/>
        <w:rPr>
          <w:sz w:val="20"/>
          <w:szCs w:val="20"/>
          <w:color w:val="auto"/>
        </w:rPr>
      </w:pPr>
    </w:p>
    <w:p>
      <w:pPr>
        <w:jc w:val="both"/>
        <w:spacing w:after="0" w:line="259" w:lineRule="auto"/>
        <w:rPr>
          <w:sz w:val="20"/>
          <w:szCs w:val="20"/>
          <w:color w:val="auto"/>
        </w:rPr>
      </w:pPr>
      <w:r>
        <w:rPr>
          <w:rFonts w:ascii="Arial" w:cs="Arial" w:eastAsia="Arial" w:hAnsi="Arial"/>
          <w:sz w:val="20"/>
          <w:szCs w:val="20"/>
          <w:color w:val="auto"/>
        </w:rPr>
        <w:t>“We continued to accelerate our cost reduction efforts and have already achieved the full targeted run-rate savings of more than $350 million. These savings, combined with our award momentum, provide us with confidence to reaffirm full-year guidance for all operating segments.”</w:t>
      </w:r>
    </w:p>
    <w:p>
      <w:pPr>
        <w:spacing w:after="0" w:line="25" w:lineRule="exact"/>
        <w:rPr>
          <w:sz w:val="20"/>
          <w:szCs w:val="20"/>
          <w:color w:val="auto"/>
        </w:rPr>
      </w:pPr>
    </w:p>
    <w:p>
      <w:pPr>
        <w:jc w:val="both"/>
        <w:spacing w:after="0" w:line="234" w:lineRule="auto"/>
        <w:rPr>
          <w:sz w:val="20"/>
          <w:szCs w:val="20"/>
          <w:color w:val="auto"/>
        </w:rPr>
      </w:pPr>
      <w:r>
        <w:rPr>
          <w:rFonts w:ascii="Arial" w:cs="Arial" w:eastAsia="Arial" w:hAnsi="Arial"/>
          <w:sz w:val="20"/>
          <w:szCs w:val="20"/>
          <w:color w:val="auto"/>
        </w:rPr>
        <w:t>“Digital is another key enabler of our business transformation. We continue to apply digital technologies to enhance our customer offering and expand our market leadership. With Subsea Studio™, we are leveraging our proprietary global database of projects to rapidly evaluate field development scenarios, which enables our ability to utilize machine learning and artificial intelligence. And our integrated and digitally enabled iComplete™ offering for surface well completions is providing significant cost and efficiency benefits with a dramatic reduction in components, connections and operating costs. Since product launch, we have achieved broad customer acceptance, leading to market share gains.”</w:t>
      </w:r>
    </w:p>
    <w:p>
      <w:pPr>
        <w:spacing w:after="0" w:line="45" w:lineRule="exact"/>
        <w:rPr>
          <w:sz w:val="20"/>
          <w:szCs w:val="20"/>
          <w:color w:val="auto"/>
        </w:rPr>
      </w:pPr>
    </w:p>
    <w:p>
      <w:pPr>
        <w:jc w:val="both"/>
        <w:spacing w:after="0" w:line="249" w:lineRule="auto"/>
        <w:rPr>
          <w:sz w:val="20"/>
          <w:szCs w:val="20"/>
          <w:color w:val="auto"/>
        </w:rPr>
      </w:pPr>
      <w:r>
        <w:rPr>
          <w:rFonts w:ascii="Arial" w:cs="Arial" w:eastAsia="Arial" w:hAnsi="Arial"/>
          <w:sz w:val="20"/>
          <w:szCs w:val="20"/>
          <w:color w:val="auto"/>
        </w:rPr>
        <w:t>Pferdehirt continued, “Our energy transition expertise across all segments will support our clients’ efforts to meet their carbon reduction ambitions. We recently announced a strategic collaboration to accelerate the development of green hydrogen technologies with McPhy – a leading manufacturer of equipment used in the production and distribution of green hydrogen. We are a leader in hydrogen today, and with McPhy, we are bringing our core competencies in technology, engineering, integration and project execution to develop large scale and competitive green hydrogen solutions.”</w:t>
      </w:r>
    </w:p>
    <w:p>
      <w:pPr>
        <w:spacing w:after="0" w:line="49" w:lineRule="exact"/>
        <w:rPr>
          <w:sz w:val="20"/>
          <w:szCs w:val="20"/>
          <w:color w:val="auto"/>
        </w:rPr>
      </w:pPr>
    </w:p>
    <w:p>
      <w:pPr>
        <w:jc w:val="both"/>
        <w:spacing w:after="0" w:line="253" w:lineRule="auto"/>
        <w:rPr>
          <w:sz w:val="20"/>
          <w:szCs w:val="20"/>
          <w:color w:val="auto"/>
        </w:rPr>
      </w:pPr>
      <w:r>
        <w:rPr>
          <w:rFonts w:ascii="Arial" w:cs="Arial" w:eastAsia="Arial" w:hAnsi="Arial"/>
          <w:sz w:val="20"/>
          <w:szCs w:val="20"/>
          <w:color w:val="auto"/>
        </w:rPr>
        <w:t>Pferdehirt concluded, “In the midst of an extremely challenging time, the women and men of TechnipFMC continued to deliver strong operational results. We remained focused on strengthening our market leading positions and leveraging our financial flexibility to pursue growth opportunities. We are fully committed to further our business transformation through new business models, innovative technologies and digital solutions across the organization.”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5040"/>
        <w:spacing w:after="0"/>
        <w:tabs>
          <w:tab w:leader="none" w:pos="1034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2 of 26</w:t>
      </w:r>
    </w:p>
    <w:p>
      <w:pPr>
        <w:sectPr>
          <w:pgSz w:w="11900" w:h="16838" w:orient="portrait"/>
          <w:cols w:equalWidth="0" w:num="1">
            <w:col w:w="11240"/>
          </w:cols>
          <w:pgMar w:left="320" w:top="1406" w:right="339" w:bottom="1440" w:gutter="0" w:footer="0" w:header="0"/>
        </w:sectPr>
      </w:pPr>
    </w:p>
    <w:bookmarkStart w:id="6" w:name="page7"/>
    <w:bookmarkEnd w:id="6"/>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t>Operational and Financial Highlights - Third Quarter 2020</w:t>
      </w:r>
    </w:p>
    <w:p>
      <w:pPr>
        <w:spacing w:after="0" w:line="200" w:lineRule="exact"/>
        <w:rPr>
          <w:sz w:val="20"/>
          <w:szCs w:val="20"/>
          <w:color w:val="auto"/>
        </w:rPr>
      </w:pPr>
    </w:p>
    <w:p>
      <w:pPr>
        <w:spacing w:after="0" w:line="259"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Subsea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Financial Highlights</w:t>
      </w:r>
    </w:p>
    <w:p>
      <w:pPr>
        <w:spacing w:after="0" w:line="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Reconciliation of U.S. GAAP to non-GAAP financial measures are below and in financial schedules.</w:t>
      </w:r>
    </w:p>
    <w:p>
      <w:pPr>
        <w:spacing w:after="0" w:line="125" w:lineRule="exact"/>
        <w:rPr>
          <w:sz w:val="20"/>
          <w:szCs w:val="20"/>
          <w:color w:val="auto"/>
        </w:rPr>
      </w:pPr>
    </w:p>
    <w:tbl>
      <w:tblPr>
        <w:tblLayout w:type="fixed"/>
        <w:tblInd w:w="30" w:type="dxa"/>
        <w:tblCellMar>
          <w:top w:w="0" w:type="dxa"/>
          <w:left w:w="0" w:type="dxa"/>
          <w:bottom w:w="0" w:type="dxa"/>
          <w:right w:w="0" w:type="dxa"/>
        </w:tblCellMar>
      </w:tblPr>
      <w:tr>
        <w:trPr>
          <w:trHeight w:val="187"/>
        </w:trPr>
        <w:tc>
          <w:tcPr>
            <w:tcW w:w="6100" w:type="dxa"/>
            <w:vAlign w:val="bottom"/>
            <w:tcBorders>
              <w:top w:val="single" w:sz="8" w:color="B8CCE4"/>
              <w:left w:val="single" w:sz="8" w:color="B8CCE4"/>
              <w:right w:val="single" w:sz="8" w:color="B8CCE4"/>
            </w:tcBorders>
          </w:tcPr>
          <w:p>
            <w:pPr>
              <w:ind w:left="40"/>
              <w:spacing w:after="0"/>
              <w:rPr>
                <w:sz w:val="20"/>
                <w:szCs w:val="20"/>
                <w:color w:val="auto"/>
              </w:rPr>
            </w:pPr>
            <w:r>
              <w:rPr>
                <w:rFonts w:ascii="Arial" w:cs="Arial" w:eastAsia="Arial" w:hAnsi="Arial"/>
                <w:sz w:val="14"/>
                <w:szCs w:val="14"/>
                <w:b w:val="1"/>
                <w:bCs w:val="1"/>
                <w:color w:val="auto"/>
              </w:rPr>
              <w:t>Three Months Ended</w:t>
            </w:r>
          </w:p>
        </w:tc>
        <w:tc>
          <w:tcPr>
            <w:tcW w:w="1760" w:type="dxa"/>
            <w:vAlign w:val="bottom"/>
            <w:tcBorders>
              <w:top w:val="single" w:sz="8" w:color="B8CCE4"/>
              <w:right w:val="single" w:sz="8" w:color="B8CCE4"/>
            </w:tcBorders>
          </w:tcPr>
          <w:p>
            <w:pPr>
              <w:jc w:val="right"/>
              <w:ind w:right="308"/>
              <w:spacing w:after="0"/>
              <w:rPr>
                <w:sz w:val="20"/>
                <w:szCs w:val="20"/>
                <w:color w:val="auto"/>
              </w:rPr>
            </w:pPr>
            <w:r>
              <w:rPr>
                <w:rFonts w:ascii="Arial" w:cs="Arial" w:eastAsia="Arial" w:hAnsi="Arial"/>
                <w:sz w:val="14"/>
                <w:szCs w:val="14"/>
                <w:b w:val="1"/>
                <w:bCs w:val="1"/>
                <w:color w:val="auto"/>
              </w:rPr>
              <w:t>September 30,</w:t>
            </w:r>
          </w:p>
        </w:tc>
        <w:tc>
          <w:tcPr>
            <w:tcW w:w="1860" w:type="dxa"/>
            <w:vAlign w:val="bottom"/>
            <w:tcBorders>
              <w:top w:val="single" w:sz="8" w:color="B8CCE4"/>
              <w:right w:val="single" w:sz="8" w:color="B8CCE4"/>
            </w:tcBorders>
          </w:tcPr>
          <w:p>
            <w:pPr>
              <w:jc w:val="right"/>
              <w:ind w:right="368"/>
              <w:spacing w:after="0"/>
              <w:rPr>
                <w:sz w:val="20"/>
                <w:szCs w:val="20"/>
                <w:color w:val="auto"/>
              </w:rPr>
            </w:pPr>
            <w:r>
              <w:rPr>
                <w:rFonts w:ascii="Arial" w:cs="Arial" w:eastAsia="Arial" w:hAnsi="Arial"/>
                <w:sz w:val="14"/>
                <w:szCs w:val="14"/>
                <w:b w:val="1"/>
                <w:bCs w:val="1"/>
                <w:color w:val="auto"/>
              </w:rPr>
              <w:t>September 30,</w:t>
            </w:r>
          </w:p>
        </w:tc>
        <w:tc>
          <w:tcPr>
            <w:tcW w:w="1500" w:type="dxa"/>
            <w:vAlign w:val="bottom"/>
            <w:tcBorders>
              <w:top w:val="single" w:sz="8" w:color="B8CCE4"/>
              <w:right w:val="single" w:sz="8" w:color="B8CCE4"/>
            </w:tcBorders>
          </w:tcPr>
          <w:p>
            <w:pPr>
              <w:spacing w:after="0"/>
              <w:rPr>
                <w:sz w:val="16"/>
                <w:szCs w:val="16"/>
                <w:color w:val="auto"/>
              </w:rPr>
            </w:pPr>
          </w:p>
        </w:tc>
      </w:tr>
      <w:tr>
        <w:trPr>
          <w:trHeight w:val="203"/>
        </w:trPr>
        <w:tc>
          <w:tcPr>
            <w:tcW w:w="61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1760" w:type="dxa"/>
            <w:vAlign w:val="bottom"/>
            <w:tcBorders>
              <w:bottom w:val="single" w:sz="8" w:color="B8CCE4"/>
              <w:right w:val="single" w:sz="8" w:color="B8CCE4"/>
            </w:tcBorders>
          </w:tcPr>
          <w:p>
            <w:pPr>
              <w:jc w:val="right"/>
              <w:ind w:right="648"/>
              <w:spacing w:after="0"/>
              <w:rPr>
                <w:sz w:val="20"/>
                <w:szCs w:val="20"/>
                <w:color w:val="auto"/>
              </w:rPr>
            </w:pPr>
            <w:r>
              <w:rPr>
                <w:rFonts w:ascii="Arial" w:cs="Arial" w:eastAsia="Arial" w:hAnsi="Arial"/>
                <w:sz w:val="14"/>
                <w:szCs w:val="14"/>
                <w:b w:val="1"/>
                <w:bCs w:val="1"/>
                <w:color w:val="auto"/>
              </w:rPr>
              <w:t>2020</w:t>
            </w:r>
          </w:p>
        </w:tc>
        <w:tc>
          <w:tcPr>
            <w:tcW w:w="1860" w:type="dxa"/>
            <w:vAlign w:val="bottom"/>
            <w:tcBorders>
              <w:bottom w:val="single" w:sz="8" w:color="B8CCE4"/>
              <w:right w:val="single" w:sz="8" w:color="B8CCE4"/>
            </w:tcBorders>
          </w:tcPr>
          <w:p>
            <w:pPr>
              <w:jc w:val="right"/>
              <w:ind w:right="708"/>
              <w:spacing w:after="0"/>
              <w:rPr>
                <w:sz w:val="20"/>
                <w:szCs w:val="20"/>
                <w:color w:val="auto"/>
              </w:rPr>
            </w:pPr>
            <w:r>
              <w:rPr>
                <w:rFonts w:ascii="Arial" w:cs="Arial" w:eastAsia="Arial" w:hAnsi="Arial"/>
                <w:sz w:val="14"/>
                <w:szCs w:val="14"/>
                <w:b w:val="1"/>
                <w:bCs w:val="1"/>
                <w:color w:val="auto"/>
              </w:rPr>
              <w:t>2019</w:t>
            </w:r>
          </w:p>
        </w:tc>
        <w:tc>
          <w:tcPr>
            <w:tcW w:w="150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14"/>
                <w:szCs w:val="14"/>
                <w:b w:val="1"/>
                <w:bCs w:val="1"/>
                <w:color w:val="auto"/>
              </w:rPr>
              <w:t>Change</w:t>
            </w:r>
          </w:p>
        </w:tc>
      </w:tr>
      <w:tr>
        <w:trPr>
          <w:trHeight w:val="265"/>
        </w:trPr>
        <w:tc>
          <w:tcPr>
            <w:tcW w:w="61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Revenue</w:t>
            </w:r>
          </w:p>
        </w:tc>
        <w:tc>
          <w:tcPr>
            <w:tcW w:w="17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$1,501.8</w:t>
            </w:r>
          </w:p>
        </w:tc>
        <w:tc>
          <w:tcPr>
            <w:tcW w:w="18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$1,342.2</w:t>
            </w:r>
          </w:p>
        </w:tc>
        <w:tc>
          <w:tcPr>
            <w:tcW w:w="150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8"/>
              </w:rPr>
              <w:t>11.9%</w:t>
            </w:r>
          </w:p>
        </w:tc>
      </w:tr>
      <w:tr>
        <w:trPr>
          <w:trHeight w:val="263"/>
        </w:trPr>
        <w:tc>
          <w:tcPr>
            <w:tcW w:w="61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Operating profit (loss)</w:t>
            </w:r>
          </w:p>
        </w:tc>
        <w:tc>
          <w:tcPr>
            <w:tcW w:w="17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$20.3</w:t>
            </w:r>
          </w:p>
        </w:tc>
        <w:tc>
          <w:tcPr>
            <w:tcW w:w="18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$(79.6)</w:t>
            </w:r>
          </w:p>
        </w:tc>
        <w:tc>
          <w:tcPr>
            <w:tcW w:w="150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5"/>
              </w:rPr>
              <w:t>n/m</w:t>
            </w:r>
          </w:p>
        </w:tc>
      </w:tr>
      <w:tr>
        <w:trPr>
          <w:trHeight w:val="263"/>
        </w:trPr>
        <w:tc>
          <w:tcPr>
            <w:tcW w:w="61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Adjusted EBITDA</w:t>
            </w:r>
          </w:p>
        </w:tc>
        <w:tc>
          <w:tcPr>
            <w:tcW w:w="17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$146.0</w:t>
            </w:r>
          </w:p>
        </w:tc>
        <w:tc>
          <w:tcPr>
            <w:tcW w:w="18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$139.1</w:t>
            </w:r>
          </w:p>
        </w:tc>
        <w:tc>
          <w:tcPr>
            <w:tcW w:w="150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6"/>
              </w:rPr>
              <w:t>5.0%</w:t>
            </w:r>
          </w:p>
        </w:tc>
      </w:tr>
      <w:tr>
        <w:trPr>
          <w:trHeight w:val="264"/>
        </w:trPr>
        <w:tc>
          <w:tcPr>
            <w:tcW w:w="61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Adjusted EBITDA margin</w:t>
            </w:r>
          </w:p>
        </w:tc>
        <w:tc>
          <w:tcPr>
            <w:tcW w:w="17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9.7 %</w:t>
            </w:r>
          </w:p>
        </w:tc>
        <w:tc>
          <w:tcPr>
            <w:tcW w:w="18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10.4 %</w:t>
            </w:r>
          </w:p>
        </w:tc>
        <w:tc>
          <w:tcPr>
            <w:tcW w:w="150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8"/>
              </w:rPr>
              <w:t>(70 bps)</w:t>
            </w:r>
          </w:p>
        </w:tc>
      </w:tr>
      <w:tr>
        <w:trPr>
          <w:trHeight w:val="250"/>
        </w:trPr>
        <w:tc>
          <w:tcPr>
            <w:tcW w:w="6100" w:type="dxa"/>
            <w:vAlign w:val="bottom"/>
            <w:tcBorders>
              <w:left w:val="single" w:sz="8" w:color="B8CCE4"/>
              <w:bottom w:val="single" w:sz="8" w:color="B8CCE4"/>
            </w:tcBorders>
          </w:tcPr>
          <w:p>
            <w:pPr>
              <w:spacing w:after="0"/>
              <w:rPr>
                <w:sz w:val="21"/>
                <w:szCs w:val="21"/>
                <w:color w:val="auto"/>
              </w:rPr>
            </w:pPr>
          </w:p>
        </w:tc>
        <w:tc>
          <w:tcPr>
            <w:tcW w:w="1760" w:type="dxa"/>
            <w:vAlign w:val="bottom"/>
            <w:tcBorders>
              <w:bottom w:val="single" w:sz="8" w:color="B8CCE4"/>
            </w:tcBorders>
          </w:tcPr>
          <w:p>
            <w:pPr>
              <w:spacing w:after="0"/>
              <w:rPr>
                <w:sz w:val="21"/>
                <w:szCs w:val="21"/>
                <w:color w:val="auto"/>
              </w:rPr>
            </w:pPr>
          </w:p>
        </w:tc>
        <w:tc>
          <w:tcPr>
            <w:tcW w:w="1860" w:type="dxa"/>
            <w:vAlign w:val="bottom"/>
            <w:tcBorders>
              <w:bottom w:val="single" w:sz="8" w:color="B8CCE4"/>
            </w:tcBorders>
          </w:tcPr>
          <w:p>
            <w:pPr>
              <w:spacing w:after="0"/>
              <w:rPr>
                <w:sz w:val="21"/>
                <w:szCs w:val="21"/>
                <w:color w:val="auto"/>
              </w:rPr>
            </w:pPr>
          </w:p>
        </w:tc>
        <w:tc>
          <w:tcPr>
            <w:tcW w:w="1500" w:type="dxa"/>
            <w:vAlign w:val="bottom"/>
            <w:tcBorders>
              <w:bottom w:val="single" w:sz="8" w:color="B8CCE4"/>
              <w:right w:val="single" w:sz="8" w:color="B8CCE4"/>
            </w:tcBorders>
          </w:tcPr>
          <w:p>
            <w:pPr>
              <w:spacing w:after="0"/>
              <w:rPr>
                <w:sz w:val="21"/>
                <w:szCs w:val="21"/>
                <w:color w:val="auto"/>
              </w:rPr>
            </w:pPr>
          </w:p>
        </w:tc>
      </w:tr>
      <w:tr>
        <w:trPr>
          <w:trHeight w:val="264"/>
        </w:trPr>
        <w:tc>
          <w:tcPr>
            <w:tcW w:w="61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Inbound orders</w:t>
            </w:r>
          </w:p>
        </w:tc>
        <w:tc>
          <w:tcPr>
            <w:tcW w:w="17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$1,607.1</w:t>
            </w:r>
          </w:p>
        </w:tc>
        <w:tc>
          <w:tcPr>
            <w:tcW w:w="18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$1,509.9</w:t>
            </w:r>
          </w:p>
        </w:tc>
        <w:tc>
          <w:tcPr>
            <w:tcW w:w="150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6"/>
              </w:rPr>
              <w:t>6.4%</w:t>
            </w:r>
          </w:p>
        </w:tc>
      </w:tr>
      <w:tr>
        <w:trPr>
          <w:trHeight w:val="263"/>
        </w:trPr>
        <w:tc>
          <w:tcPr>
            <w:tcW w:w="61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Backlog</w:t>
            </w:r>
          </w:p>
        </w:tc>
        <w:tc>
          <w:tcPr>
            <w:tcW w:w="17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$7,218.0</w:t>
            </w:r>
          </w:p>
        </w:tc>
        <w:tc>
          <w:tcPr>
            <w:tcW w:w="18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$8,655.8</w:t>
            </w:r>
          </w:p>
        </w:tc>
        <w:tc>
          <w:tcPr>
            <w:tcW w:w="150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7"/>
              </w:rPr>
              <w:t>(16.6%)</w:t>
            </w:r>
          </w:p>
        </w:tc>
      </w:tr>
    </w:tbl>
    <w:p>
      <w:pPr>
        <w:spacing w:after="0" w:line="200" w:lineRule="exact"/>
        <w:rPr>
          <w:sz w:val="20"/>
          <w:szCs w:val="20"/>
          <w:color w:val="auto"/>
        </w:rPr>
      </w:pPr>
    </w:p>
    <w:p>
      <w:pPr>
        <w:spacing w:after="0" w:line="297" w:lineRule="exact"/>
        <w:rPr>
          <w:sz w:val="20"/>
          <w:szCs w:val="20"/>
          <w:color w:val="auto"/>
        </w:rPr>
      </w:pPr>
    </w:p>
    <w:p>
      <w:pPr>
        <w:jc w:val="both"/>
        <w:spacing w:after="0" w:line="253" w:lineRule="auto"/>
        <w:rPr>
          <w:sz w:val="20"/>
          <w:szCs w:val="20"/>
          <w:color w:val="auto"/>
        </w:rPr>
      </w:pPr>
      <w:r>
        <w:rPr>
          <w:rFonts w:ascii="Arial" w:cs="Arial" w:eastAsia="Arial" w:hAnsi="Arial"/>
          <w:sz w:val="20"/>
          <w:szCs w:val="20"/>
          <w:color w:val="auto"/>
        </w:rPr>
        <w:t>Subsea reported third quarter revenue of $1,501.8 million, an increase of 11.9 percent from the prior year driven by continued strong execution of our backlog. Revenue growth in project activity was most significant in the United States, Norway and Africa. Sequentially, revenue increased 9 percent primarily driven by continued improvement in operational efficiency as well as increased activity in Subsea Services.</w:t>
      </w:r>
    </w:p>
    <w:p>
      <w:pPr>
        <w:spacing w:after="0" w:line="137" w:lineRule="exact"/>
        <w:rPr>
          <w:sz w:val="20"/>
          <w:szCs w:val="20"/>
          <w:color w:val="auto"/>
        </w:rPr>
      </w:pPr>
    </w:p>
    <w:p>
      <w:pPr>
        <w:jc w:val="both"/>
        <w:spacing w:after="0" w:line="259" w:lineRule="auto"/>
        <w:rPr>
          <w:sz w:val="20"/>
          <w:szCs w:val="20"/>
          <w:color w:val="auto"/>
        </w:rPr>
      </w:pPr>
      <w:r>
        <w:rPr>
          <w:rFonts w:ascii="Arial" w:cs="Arial" w:eastAsia="Arial" w:hAnsi="Arial"/>
          <w:sz w:val="20"/>
          <w:szCs w:val="20"/>
          <w:color w:val="auto"/>
        </w:rPr>
        <w:t>Subsea reported an operating profit of $ 20.3 million. Operating profit increased versus the prior-year quarter primarily driven by significantly lower charges and credits in the current period. Sequentially, operating profit benefited from project completions and improved asset utilization in the third quarter.</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20"/>
          <w:szCs w:val="20"/>
          <w:color w:val="auto"/>
        </w:rPr>
        <w:t>Adjusted EBITDA was $146 million, with a margin of 9.7 percent. Adjusted EBITDA increased versus the prior-year quarter as higher activity and the benefits of our cost reduction initiatives more than offset the COVID-19-related inefficiencies in the quarter.</w:t>
      </w:r>
    </w:p>
    <w:p>
      <w:pPr>
        <w:spacing w:after="0" w:line="187" w:lineRule="exact"/>
        <w:rPr>
          <w:sz w:val="20"/>
          <w:szCs w:val="20"/>
          <w:color w:val="auto"/>
        </w:rPr>
      </w:pPr>
    </w:p>
    <w:p>
      <w:pPr>
        <w:spacing w:after="0"/>
        <w:rPr>
          <w:sz w:val="20"/>
          <w:szCs w:val="20"/>
          <w:color w:val="auto"/>
        </w:rPr>
      </w:pPr>
      <w:r>
        <w:rPr>
          <w:rFonts w:ascii="Arial" w:cs="Arial" w:eastAsia="Arial" w:hAnsi="Arial"/>
          <w:sz w:val="20"/>
          <w:szCs w:val="20"/>
          <w:color w:val="auto"/>
        </w:rPr>
        <w:t>Third Quarter Subsea Highlights</w:t>
      </w:r>
    </w:p>
    <w:p>
      <w:pPr>
        <w:spacing w:after="0" w:line="65" w:lineRule="exact"/>
        <w:rPr>
          <w:sz w:val="20"/>
          <w:szCs w:val="20"/>
          <w:color w:val="auto"/>
        </w:rPr>
      </w:pPr>
    </w:p>
    <w:p>
      <w:pPr>
        <w:ind w:left="640" w:hanging="308"/>
        <w:spacing w:after="0"/>
        <w:tabs>
          <w:tab w:leader="none" w:pos="640" w:val="left"/>
        </w:tabs>
        <w:numPr>
          <w:ilvl w:val="0"/>
          <w:numId w:val="3"/>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Neptune Energy Fenja iEPCI™ </w:t>
      </w:r>
      <w:r>
        <w:rPr>
          <w:rFonts w:ascii="Arial" w:cs="Arial" w:eastAsia="Arial" w:hAnsi="Arial"/>
          <w:sz w:val="17"/>
          <w:szCs w:val="17"/>
          <w:b w:val="1"/>
          <w:bCs w:val="1"/>
          <w:color w:val="auto"/>
        </w:rPr>
        <w:t>(Norway)</w:t>
      </w:r>
    </w:p>
    <w:p>
      <w:pPr>
        <w:spacing w:after="0" w:line="27" w:lineRule="exact"/>
        <w:rPr>
          <w:rFonts w:ascii="Arial" w:cs="Arial" w:eastAsia="Arial" w:hAnsi="Arial"/>
          <w:sz w:val="20"/>
          <w:szCs w:val="20"/>
          <w:b w:val="1"/>
          <w:bCs w:val="1"/>
          <w:color w:val="auto"/>
        </w:rPr>
      </w:pPr>
    </w:p>
    <w:p>
      <w:pPr>
        <w:ind w:left="660"/>
        <w:spacing w:after="0"/>
        <w:rPr>
          <w:rFonts w:ascii="Arial" w:cs="Arial" w:eastAsia="Arial" w:hAnsi="Arial"/>
          <w:sz w:val="20"/>
          <w:szCs w:val="20"/>
          <w:b w:val="1"/>
          <w:bCs w:val="1"/>
          <w:color w:val="auto"/>
        </w:rPr>
      </w:pPr>
      <w:r>
        <w:rPr>
          <w:rFonts w:ascii="Arial" w:cs="Arial" w:eastAsia="Arial" w:hAnsi="Arial"/>
          <w:sz w:val="20"/>
          <w:szCs w:val="20"/>
          <w:color w:val="auto"/>
        </w:rPr>
        <w:t>Began installation of electrically trace heated pipe-in-pipe.</w:t>
      </w:r>
    </w:p>
    <w:p>
      <w:pPr>
        <w:spacing w:after="0" w:line="79" w:lineRule="exact"/>
        <w:rPr>
          <w:rFonts w:ascii="Arial" w:cs="Arial" w:eastAsia="Arial" w:hAnsi="Arial"/>
          <w:sz w:val="20"/>
          <w:szCs w:val="20"/>
          <w:b w:val="1"/>
          <w:bCs w:val="1"/>
          <w:color w:val="auto"/>
        </w:rPr>
      </w:pPr>
    </w:p>
    <w:p>
      <w:pPr>
        <w:ind w:left="660" w:right="6640" w:hanging="328"/>
        <w:spacing w:after="0" w:line="282" w:lineRule="auto"/>
        <w:tabs>
          <w:tab w:leader="none" w:pos="648" w:val="left"/>
        </w:tabs>
        <w:numPr>
          <w:ilvl w:val="0"/>
          <w:numId w:val="3"/>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BP Atlantis Phase 3 iEPCI™ </w:t>
      </w:r>
      <w:r>
        <w:rPr>
          <w:rFonts w:ascii="Arial" w:cs="Arial" w:eastAsia="Arial" w:hAnsi="Arial"/>
          <w:sz w:val="17"/>
          <w:szCs w:val="17"/>
          <w:b w:val="1"/>
          <w:bCs w:val="1"/>
          <w:color w:val="auto"/>
        </w:rPr>
        <w:t>(United States)</w:t>
      </w:r>
      <w:r>
        <w:rPr>
          <w:rFonts w:ascii="Arial" w:cs="Arial" w:eastAsia="Arial" w:hAnsi="Arial"/>
          <w:sz w:val="20"/>
          <w:szCs w:val="20"/>
          <w:b w:val="1"/>
          <w:bCs w:val="1"/>
          <w:color w:val="auto"/>
        </w:rPr>
        <w:t xml:space="preserve"> </w:t>
      </w:r>
      <w:r>
        <w:rPr>
          <w:rFonts w:ascii="Arial" w:cs="Arial" w:eastAsia="Arial" w:hAnsi="Arial"/>
          <w:sz w:val="20"/>
          <w:szCs w:val="20"/>
          <w:color w:val="auto"/>
        </w:rPr>
        <w:t>Helped client achieve fast track start-up.</w:t>
      </w:r>
    </w:p>
    <w:p>
      <w:pPr>
        <w:spacing w:after="0" w:line="26" w:lineRule="exact"/>
        <w:rPr>
          <w:rFonts w:ascii="Arial" w:cs="Arial" w:eastAsia="Arial" w:hAnsi="Arial"/>
          <w:sz w:val="20"/>
          <w:szCs w:val="20"/>
          <w:b w:val="1"/>
          <w:bCs w:val="1"/>
          <w:color w:val="auto"/>
        </w:rPr>
      </w:pPr>
    </w:p>
    <w:p>
      <w:pPr>
        <w:ind w:left="640" w:hanging="308"/>
        <w:spacing w:after="0"/>
        <w:tabs>
          <w:tab w:leader="none" w:pos="640" w:val="left"/>
        </w:tabs>
        <w:numPr>
          <w:ilvl w:val="0"/>
          <w:numId w:val="3"/>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Woodside Pyxis iEPCI™ </w:t>
      </w:r>
      <w:r>
        <w:rPr>
          <w:rFonts w:ascii="Arial" w:cs="Arial" w:eastAsia="Arial" w:hAnsi="Arial"/>
          <w:sz w:val="17"/>
          <w:szCs w:val="17"/>
          <w:b w:val="1"/>
          <w:bCs w:val="1"/>
          <w:color w:val="auto"/>
        </w:rPr>
        <w:t>(Australia)</w:t>
      </w:r>
    </w:p>
    <w:p>
      <w:pPr>
        <w:spacing w:after="0" w:line="27" w:lineRule="exact"/>
        <w:rPr>
          <w:rFonts w:ascii="Arial" w:cs="Arial" w:eastAsia="Arial" w:hAnsi="Arial"/>
          <w:sz w:val="20"/>
          <w:szCs w:val="20"/>
          <w:b w:val="1"/>
          <w:bCs w:val="1"/>
          <w:color w:val="auto"/>
        </w:rPr>
      </w:pPr>
    </w:p>
    <w:p>
      <w:pPr>
        <w:ind w:left="660"/>
        <w:spacing w:after="0"/>
        <w:rPr>
          <w:rFonts w:ascii="Arial" w:cs="Arial" w:eastAsia="Arial" w:hAnsi="Arial"/>
          <w:sz w:val="20"/>
          <w:szCs w:val="20"/>
          <w:b w:val="1"/>
          <w:bCs w:val="1"/>
          <w:color w:val="auto"/>
        </w:rPr>
      </w:pPr>
      <w:r>
        <w:rPr>
          <w:rFonts w:ascii="Arial" w:cs="Arial" w:eastAsia="Arial" w:hAnsi="Arial"/>
          <w:sz w:val="20"/>
          <w:szCs w:val="20"/>
          <w:color w:val="auto"/>
        </w:rPr>
        <w:t>Successful installation of two Subsea 2.0™ trees.</w:t>
      </w:r>
    </w:p>
    <w:p>
      <w:pPr>
        <w:spacing w:after="0" w:line="79" w:lineRule="exact"/>
        <w:rPr>
          <w:rFonts w:ascii="Arial" w:cs="Arial" w:eastAsia="Arial" w:hAnsi="Arial"/>
          <w:sz w:val="20"/>
          <w:szCs w:val="20"/>
          <w:b w:val="1"/>
          <w:bCs w:val="1"/>
          <w:color w:val="auto"/>
        </w:rPr>
      </w:pPr>
    </w:p>
    <w:p>
      <w:pPr>
        <w:ind w:left="640" w:hanging="308"/>
        <w:spacing w:after="0"/>
        <w:tabs>
          <w:tab w:leader="none" w:pos="640" w:val="left"/>
        </w:tabs>
        <w:numPr>
          <w:ilvl w:val="0"/>
          <w:numId w:val="3"/>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Shell BC-10 </w:t>
      </w:r>
      <w:r>
        <w:rPr>
          <w:rFonts w:ascii="Arial" w:cs="Arial" w:eastAsia="Arial" w:hAnsi="Arial"/>
          <w:sz w:val="17"/>
          <w:szCs w:val="17"/>
          <w:b w:val="1"/>
          <w:bCs w:val="1"/>
          <w:color w:val="auto"/>
        </w:rPr>
        <w:t>(Brazil)</w:t>
      </w:r>
    </w:p>
    <w:p>
      <w:pPr>
        <w:spacing w:after="0" w:line="27" w:lineRule="exact"/>
        <w:rPr>
          <w:rFonts w:ascii="Arial" w:cs="Arial" w:eastAsia="Arial" w:hAnsi="Arial"/>
          <w:sz w:val="20"/>
          <w:szCs w:val="20"/>
          <w:b w:val="1"/>
          <w:bCs w:val="1"/>
          <w:color w:val="auto"/>
        </w:rPr>
      </w:pPr>
    </w:p>
    <w:p>
      <w:pPr>
        <w:ind w:left="660"/>
        <w:spacing w:after="0"/>
        <w:rPr>
          <w:rFonts w:ascii="Arial" w:cs="Arial" w:eastAsia="Arial" w:hAnsi="Arial"/>
          <w:sz w:val="20"/>
          <w:szCs w:val="20"/>
          <w:b w:val="1"/>
          <w:bCs w:val="1"/>
          <w:color w:val="auto"/>
        </w:rPr>
      </w:pPr>
      <w:r>
        <w:rPr>
          <w:rFonts w:ascii="Arial" w:cs="Arial" w:eastAsia="Arial" w:hAnsi="Arial"/>
          <w:sz w:val="20"/>
          <w:szCs w:val="20"/>
          <w:color w:val="auto"/>
        </w:rPr>
        <w:t>Successful installation of Subsea 2.0™ tree; well is now operational and producing.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5040"/>
        <w:spacing w:after="0"/>
        <w:tabs>
          <w:tab w:leader="none" w:pos="1034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3 of 26</w:t>
      </w:r>
    </w:p>
    <w:p>
      <w:pPr>
        <w:sectPr>
          <w:pgSz w:w="11900" w:h="16838" w:orient="portrait"/>
          <w:cols w:equalWidth="0" w:num="1">
            <w:col w:w="11240"/>
          </w:cols>
          <w:pgMar w:left="320" w:top="1404" w:right="339" w:bottom="1440" w:gutter="0" w:footer="0" w:header="0"/>
        </w:sectPr>
      </w:pPr>
    </w:p>
    <w:bookmarkStart w:id="7" w:name="page8"/>
    <w:bookmarkEnd w:id="7"/>
    <w:p>
      <w:pPr>
        <w:ind w:right="160"/>
        <w:spacing w:after="0" w:line="266" w:lineRule="auto"/>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t>Subsea inbound orders were $1,607.1 million for the quarter, resulting in a book-to-bill of 1.1. The following announced awards were included in the period:</w:t>
      </w:r>
    </w:p>
    <w:p>
      <w:pPr>
        <w:spacing w:after="0" w:line="163" w:lineRule="exact"/>
        <w:rPr>
          <w:sz w:val="20"/>
          <w:szCs w:val="20"/>
          <w:color w:val="auto"/>
        </w:rPr>
      </w:pPr>
    </w:p>
    <w:p>
      <w:pPr>
        <w:ind w:left="640" w:hanging="308"/>
        <w:spacing w:after="0"/>
        <w:tabs>
          <w:tab w:leader="none" w:pos="640" w:val="left"/>
        </w:tabs>
        <w:numPr>
          <w:ilvl w:val="0"/>
          <w:numId w:val="4"/>
        </w:numPr>
        <w:rPr>
          <w:rFonts w:ascii="Arial" w:cs="Arial" w:eastAsia="Arial" w:hAnsi="Arial"/>
          <w:sz w:val="20"/>
          <w:szCs w:val="20"/>
          <w:b w:val="1"/>
          <w:bCs w:val="1"/>
          <w:i w:val="1"/>
          <w:iCs w:val="1"/>
          <w:color w:val="auto"/>
        </w:rPr>
      </w:pPr>
      <w:r>
        <w:rPr>
          <w:rFonts w:ascii="Arial" w:cs="Arial" w:eastAsia="Arial" w:hAnsi="Arial"/>
          <w:sz w:val="20"/>
          <w:szCs w:val="20"/>
          <w:b w:val="1"/>
          <w:bCs w:val="1"/>
          <w:color w:val="auto"/>
        </w:rPr>
        <w:t>Libra Consortium’s Mero 2 Project (Brazil)</w:t>
      </w:r>
    </w:p>
    <w:p>
      <w:pPr>
        <w:spacing w:after="0" w:line="27" w:lineRule="exact"/>
        <w:rPr>
          <w:rFonts w:ascii="Arial" w:cs="Arial" w:eastAsia="Arial" w:hAnsi="Arial"/>
          <w:sz w:val="20"/>
          <w:szCs w:val="20"/>
          <w:b w:val="1"/>
          <w:bCs w:val="1"/>
          <w:i w:val="1"/>
          <w:iCs w:val="1"/>
          <w:color w:val="auto"/>
        </w:rPr>
      </w:pPr>
    </w:p>
    <w:p>
      <w:pPr>
        <w:jc w:val="both"/>
        <w:ind w:left="660"/>
        <w:spacing w:after="0" w:line="239" w:lineRule="auto"/>
        <w:rPr>
          <w:rFonts w:ascii="Arial" w:cs="Arial" w:eastAsia="Arial" w:hAnsi="Arial"/>
          <w:sz w:val="20"/>
          <w:szCs w:val="20"/>
          <w:b w:val="1"/>
          <w:bCs w:val="1"/>
          <w:i w:val="1"/>
          <w:iCs w:val="1"/>
          <w:color w:val="auto"/>
        </w:rPr>
      </w:pPr>
      <w:r>
        <w:rPr>
          <w:rFonts w:ascii="Arial" w:cs="Arial" w:eastAsia="Arial" w:hAnsi="Arial"/>
          <w:sz w:val="20"/>
          <w:szCs w:val="20"/>
          <w:color w:val="auto"/>
        </w:rPr>
        <w:t>Large* contract from the Libra Consortium for the Mero 2 project, operated by Petrobras. The contract covers the engineering, procurement, construction, installation and pre-commissioning of the infield rigid riser and flowlines for production, including the water alternating gas wells. It also comprises the installation and pre-commissioning of service flexible lines and steel tube umbilicals, as well as towing and hook-up of the floating production storage and offloading unit (FPSO).</w:t>
      </w:r>
    </w:p>
    <w:p>
      <w:pPr>
        <w:spacing w:after="0" w:line="2" w:lineRule="exact"/>
        <w:rPr>
          <w:rFonts w:ascii="Arial" w:cs="Arial" w:eastAsia="Arial" w:hAnsi="Arial"/>
          <w:sz w:val="20"/>
          <w:szCs w:val="20"/>
          <w:b w:val="1"/>
          <w:bCs w:val="1"/>
          <w:i w:val="1"/>
          <w:iCs w:val="1"/>
          <w:color w:val="auto"/>
        </w:rPr>
      </w:pPr>
    </w:p>
    <w:p>
      <w:pPr>
        <w:ind w:left="660"/>
        <w:spacing w:after="0"/>
        <w:rPr>
          <w:rFonts w:ascii="Arial" w:cs="Arial" w:eastAsia="Arial" w:hAnsi="Arial"/>
          <w:sz w:val="20"/>
          <w:szCs w:val="20"/>
          <w:b w:val="1"/>
          <w:bCs w:val="1"/>
          <w:i w:val="1"/>
          <w:iCs w:val="1"/>
          <w:color w:val="auto"/>
        </w:rPr>
      </w:pPr>
      <w:r>
        <w:rPr>
          <w:rFonts w:ascii="Arial" w:cs="Arial" w:eastAsia="Arial" w:hAnsi="Arial"/>
          <w:sz w:val="20"/>
          <w:szCs w:val="20"/>
          <w:i w:val="1"/>
          <w:iCs w:val="1"/>
          <w:color w:val="auto"/>
        </w:rPr>
        <w:t>*A “large” award ranges between $500 million and $1 billion.</w:t>
      </w:r>
    </w:p>
    <w:p>
      <w:pPr>
        <w:spacing w:after="0" w:line="200" w:lineRule="exact"/>
        <w:rPr>
          <w:rFonts w:ascii="Arial" w:cs="Arial" w:eastAsia="Arial" w:hAnsi="Arial"/>
          <w:sz w:val="20"/>
          <w:szCs w:val="20"/>
          <w:b w:val="1"/>
          <w:bCs w:val="1"/>
          <w:i w:val="1"/>
          <w:iCs w:val="1"/>
          <w:color w:val="auto"/>
        </w:rPr>
      </w:pPr>
    </w:p>
    <w:p>
      <w:pPr>
        <w:spacing w:after="0" w:line="230" w:lineRule="exact"/>
        <w:rPr>
          <w:rFonts w:ascii="Arial" w:cs="Arial" w:eastAsia="Arial" w:hAnsi="Arial"/>
          <w:sz w:val="20"/>
          <w:szCs w:val="20"/>
          <w:b w:val="1"/>
          <w:bCs w:val="1"/>
          <w:i w:val="1"/>
          <w:iCs w:val="1"/>
          <w:color w:val="auto"/>
        </w:rPr>
      </w:pPr>
    </w:p>
    <w:p>
      <w:pPr>
        <w:ind w:left="640" w:hanging="308"/>
        <w:spacing w:after="0"/>
        <w:tabs>
          <w:tab w:leader="none" w:pos="640" w:val="left"/>
        </w:tabs>
        <w:numPr>
          <w:ilvl w:val="0"/>
          <w:numId w:val="4"/>
        </w:numPr>
        <w:rPr>
          <w:rFonts w:ascii="Arial" w:cs="Arial" w:eastAsia="Arial" w:hAnsi="Arial"/>
          <w:sz w:val="20"/>
          <w:szCs w:val="20"/>
          <w:b w:val="1"/>
          <w:bCs w:val="1"/>
          <w:color w:val="auto"/>
        </w:rPr>
      </w:pPr>
      <w:r>
        <w:rPr>
          <w:rFonts w:ascii="Arial" w:cs="Arial" w:eastAsia="Arial" w:hAnsi="Arial"/>
          <w:sz w:val="20"/>
          <w:szCs w:val="20"/>
          <w:b w:val="1"/>
          <w:bCs w:val="1"/>
          <w:color w:val="auto"/>
        </w:rPr>
        <w:t>ExxonMobil Payara Project (Guyana)</w:t>
      </w:r>
    </w:p>
    <w:p>
      <w:pPr>
        <w:spacing w:after="0" w:line="27" w:lineRule="exact"/>
        <w:rPr>
          <w:rFonts w:ascii="Arial" w:cs="Arial" w:eastAsia="Arial" w:hAnsi="Arial"/>
          <w:sz w:val="20"/>
          <w:szCs w:val="20"/>
          <w:b w:val="1"/>
          <w:bCs w:val="1"/>
          <w:color w:val="auto"/>
        </w:rPr>
      </w:pPr>
    </w:p>
    <w:p>
      <w:pPr>
        <w:jc w:val="both"/>
        <w:ind w:left="660"/>
        <w:spacing w:after="0" w:line="239" w:lineRule="auto"/>
        <w:rPr>
          <w:rFonts w:ascii="Arial" w:cs="Arial" w:eastAsia="Arial" w:hAnsi="Arial"/>
          <w:sz w:val="20"/>
          <w:szCs w:val="20"/>
          <w:b w:val="1"/>
          <w:bCs w:val="1"/>
          <w:color w:val="auto"/>
        </w:rPr>
      </w:pPr>
      <w:r>
        <w:rPr>
          <w:rFonts w:ascii="Arial" w:cs="Arial" w:eastAsia="Arial" w:hAnsi="Arial"/>
          <w:sz w:val="20"/>
          <w:szCs w:val="20"/>
          <w:color w:val="auto"/>
        </w:rPr>
        <w:t>Large* contract for the subsea system for the Payara project in Guyana from ExxonMobil subsidiary Esso Exploration and Production Guyana Limited. The contract covers the manufacture and delivery of the subsea production system, including 41 enhanced vertical deep water trees and associated tooling, six flexible risers and 10 manifolds along with associated controls and tie-in development.</w:t>
      </w:r>
    </w:p>
    <w:p>
      <w:pPr>
        <w:spacing w:after="0" w:line="1" w:lineRule="exact"/>
        <w:rPr>
          <w:rFonts w:ascii="Arial" w:cs="Arial" w:eastAsia="Arial" w:hAnsi="Arial"/>
          <w:sz w:val="20"/>
          <w:szCs w:val="20"/>
          <w:b w:val="1"/>
          <w:bCs w:val="1"/>
          <w:color w:val="auto"/>
        </w:rPr>
      </w:pPr>
    </w:p>
    <w:p>
      <w:pPr>
        <w:ind w:left="660"/>
        <w:spacing w:after="0"/>
        <w:rPr>
          <w:rFonts w:ascii="Arial" w:cs="Arial" w:eastAsia="Arial" w:hAnsi="Arial"/>
          <w:sz w:val="20"/>
          <w:szCs w:val="20"/>
          <w:b w:val="1"/>
          <w:bCs w:val="1"/>
          <w:color w:val="auto"/>
        </w:rPr>
      </w:pPr>
      <w:r>
        <w:rPr>
          <w:rFonts w:ascii="Arial" w:cs="Arial" w:eastAsia="Arial" w:hAnsi="Arial"/>
          <w:sz w:val="20"/>
          <w:szCs w:val="20"/>
          <w:i w:val="1"/>
          <w:iCs w:val="1"/>
          <w:color w:val="auto"/>
        </w:rPr>
        <w:t>*A “large” award ranges between $500 million and $1 billion.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tbl>
      <w:tblPr>
        <w:tblLayout w:type="fixed"/>
        <w:tblInd w:w="10" w:type="dxa"/>
        <w:tblCellMar>
          <w:top w:w="0" w:type="dxa"/>
          <w:left w:w="0" w:type="dxa"/>
          <w:bottom w:w="0" w:type="dxa"/>
          <w:right w:w="0" w:type="dxa"/>
        </w:tblCellMar>
      </w:tblPr>
      <w:tr>
        <w:trPr>
          <w:trHeight w:val="297"/>
        </w:trPr>
        <w:tc>
          <w:tcPr>
            <w:tcW w:w="7260" w:type="dxa"/>
            <w:vAlign w:val="bottom"/>
            <w:tcBorders>
              <w:top w:val="single" w:sz="8" w:color="B6DDE8"/>
              <w:left w:val="single" w:sz="8" w:color="B6DDE8"/>
              <w:right w:val="single" w:sz="8" w:color="B6DDE8"/>
            </w:tcBorders>
          </w:tcPr>
          <w:p>
            <w:pPr>
              <w:ind w:left="40"/>
              <w:spacing w:after="0"/>
              <w:rPr>
                <w:sz w:val="20"/>
                <w:szCs w:val="20"/>
                <w:color w:val="auto"/>
              </w:rPr>
            </w:pPr>
            <w:r>
              <w:rPr>
                <w:rFonts w:ascii="Arial" w:cs="Arial" w:eastAsia="Arial" w:hAnsi="Arial"/>
                <w:sz w:val="20"/>
                <w:szCs w:val="20"/>
                <w:b w:val="1"/>
                <w:bCs w:val="1"/>
                <w:color w:val="auto"/>
              </w:rPr>
              <w:t>Subsea</w:t>
            </w:r>
          </w:p>
        </w:tc>
        <w:tc>
          <w:tcPr>
            <w:tcW w:w="1960" w:type="dxa"/>
            <w:vAlign w:val="bottom"/>
            <w:tcBorders>
              <w:top w:val="single" w:sz="8" w:color="B6DDE8"/>
              <w:right w:val="single" w:sz="8" w:color="B6DDE8"/>
            </w:tcBorders>
          </w:tcPr>
          <w:p>
            <w:pPr>
              <w:jc w:val="right"/>
              <w:ind w:right="321"/>
              <w:spacing w:after="0"/>
              <w:rPr>
                <w:sz w:val="20"/>
                <w:szCs w:val="20"/>
                <w:color w:val="auto"/>
              </w:rPr>
            </w:pPr>
            <w:r>
              <w:rPr>
                <w:rFonts w:ascii="Arial" w:cs="Arial" w:eastAsia="Arial" w:hAnsi="Arial"/>
                <w:sz w:val="20"/>
                <w:szCs w:val="20"/>
                <w:color w:val="auto"/>
              </w:rPr>
              <w:t>Consolidated</w:t>
            </w:r>
          </w:p>
        </w:tc>
        <w:tc>
          <w:tcPr>
            <w:tcW w:w="1980" w:type="dxa"/>
            <w:vAlign w:val="bottom"/>
            <w:tcBorders>
              <w:top w:val="single" w:sz="8" w:color="B6DDE8"/>
              <w:right w:val="single" w:sz="8" w:color="B6DDE8"/>
            </w:tcBorders>
          </w:tcPr>
          <w:p>
            <w:pPr>
              <w:jc w:val="right"/>
              <w:ind w:right="141"/>
              <w:spacing w:after="0"/>
              <w:rPr>
                <w:sz w:val="20"/>
                <w:szCs w:val="20"/>
                <w:color w:val="auto"/>
              </w:rPr>
            </w:pPr>
            <w:r>
              <w:rPr>
                <w:rFonts w:ascii="Arial" w:cs="Arial" w:eastAsia="Arial" w:hAnsi="Arial"/>
                <w:sz w:val="20"/>
                <w:szCs w:val="20"/>
                <w:color w:val="auto"/>
              </w:rPr>
              <w:t>Non-consolidated</w:t>
            </w:r>
          </w:p>
        </w:tc>
      </w:tr>
      <w:tr>
        <w:trPr>
          <w:trHeight w:val="189"/>
        </w:trPr>
        <w:tc>
          <w:tcPr>
            <w:tcW w:w="7260" w:type="dxa"/>
            <w:vAlign w:val="bottom"/>
            <w:tcBorders>
              <w:left w:val="single" w:sz="8" w:color="B6DDE8"/>
              <w:right w:val="single" w:sz="8" w:color="B6DDE8"/>
            </w:tcBorders>
          </w:tcPr>
          <w:p>
            <w:pPr>
              <w:ind w:left="40"/>
              <w:spacing w:after="0" w:line="189" w:lineRule="exact"/>
              <w:rPr>
                <w:sz w:val="20"/>
                <w:szCs w:val="20"/>
                <w:color w:val="auto"/>
              </w:rPr>
            </w:pPr>
            <w:r>
              <w:rPr>
                <w:rFonts w:ascii="Arial" w:cs="Arial" w:eastAsia="Arial" w:hAnsi="Arial"/>
                <w:sz w:val="18"/>
                <w:szCs w:val="18"/>
                <w:color w:val="auto"/>
              </w:rPr>
              <w:t>Estimated Backlog Scheduling as of September 30, 2020</w:t>
            </w:r>
          </w:p>
        </w:tc>
        <w:tc>
          <w:tcPr>
            <w:tcW w:w="1960" w:type="dxa"/>
            <w:vAlign w:val="bottom"/>
            <w:tcBorders>
              <w:right w:val="single" w:sz="8" w:color="B6DDE8"/>
            </w:tcBorders>
          </w:tcPr>
          <w:p>
            <w:pPr>
              <w:jc w:val="right"/>
              <w:ind w:right="461"/>
              <w:spacing w:after="0" w:line="189" w:lineRule="exact"/>
              <w:rPr>
                <w:sz w:val="20"/>
                <w:szCs w:val="20"/>
                <w:color w:val="auto"/>
              </w:rPr>
            </w:pPr>
            <w:r>
              <w:rPr>
                <w:rFonts w:ascii="Arial" w:cs="Arial" w:eastAsia="Arial" w:hAnsi="Arial"/>
                <w:sz w:val="20"/>
                <w:szCs w:val="20"/>
                <w:color w:val="auto"/>
              </w:rPr>
              <w:t>backlog</w:t>
            </w:r>
            <w:r>
              <w:rPr>
                <w:rFonts w:ascii="Arial" w:cs="Arial" w:eastAsia="Arial" w:hAnsi="Arial"/>
                <w:sz w:val="12"/>
                <w:szCs w:val="12"/>
                <w:color w:val="auto"/>
              </w:rPr>
              <w:t>1,2</w:t>
            </w:r>
          </w:p>
        </w:tc>
        <w:tc>
          <w:tcPr>
            <w:tcW w:w="1980" w:type="dxa"/>
            <w:vAlign w:val="bottom"/>
            <w:tcBorders>
              <w:right w:val="single" w:sz="8" w:color="B6DDE8"/>
            </w:tcBorders>
          </w:tcPr>
          <w:p>
            <w:pPr>
              <w:jc w:val="right"/>
              <w:ind w:right="521"/>
              <w:spacing w:after="0" w:line="189" w:lineRule="exact"/>
              <w:rPr>
                <w:sz w:val="20"/>
                <w:szCs w:val="20"/>
                <w:color w:val="auto"/>
              </w:rPr>
            </w:pPr>
            <w:r>
              <w:rPr>
                <w:rFonts w:ascii="Arial" w:cs="Arial" w:eastAsia="Arial" w:hAnsi="Arial"/>
                <w:sz w:val="20"/>
                <w:szCs w:val="20"/>
                <w:color w:val="auto"/>
              </w:rPr>
              <w:t>backlog</w:t>
            </w:r>
            <w:r>
              <w:rPr>
                <w:rFonts w:ascii="Arial" w:cs="Arial" w:eastAsia="Arial" w:hAnsi="Arial"/>
                <w:sz w:val="12"/>
                <w:szCs w:val="12"/>
                <w:color w:val="auto"/>
              </w:rPr>
              <w:t>3</w:t>
            </w:r>
          </w:p>
        </w:tc>
      </w:tr>
      <w:tr>
        <w:trPr>
          <w:trHeight w:val="169"/>
        </w:trPr>
        <w:tc>
          <w:tcPr>
            <w:tcW w:w="7260" w:type="dxa"/>
            <w:vAlign w:val="bottom"/>
            <w:tcBorders>
              <w:left w:val="single" w:sz="8" w:color="B6DDE8"/>
              <w:bottom w:val="single" w:sz="8" w:color="B8CCE4"/>
              <w:right w:val="single" w:sz="8" w:color="B6DDE8"/>
            </w:tcBorders>
          </w:tcPr>
          <w:p>
            <w:pPr>
              <w:ind w:left="40"/>
              <w:spacing w:after="0"/>
              <w:rPr>
                <w:sz w:val="20"/>
                <w:szCs w:val="20"/>
                <w:color w:val="auto"/>
              </w:rPr>
            </w:pPr>
            <w:r>
              <w:rPr>
                <w:rFonts w:ascii="Arial" w:cs="Arial" w:eastAsia="Arial" w:hAnsi="Arial"/>
                <w:sz w:val="14"/>
                <w:szCs w:val="14"/>
                <w:color w:val="auto"/>
              </w:rPr>
              <w:t>(In millions)</w:t>
            </w:r>
          </w:p>
        </w:tc>
        <w:tc>
          <w:tcPr>
            <w:tcW w:w="1960" w:type="dxa"/>
            <w:vAlign w:val="bottom"/>
            <w:tcBorders>
              <w:bottom w:val="single" w:sz="8" w:color="B8CCE4"/>
              <w:right w:val="single" w:sz="8" w:color="B6DDE8"/>
            </w:tcBorders>
          </w:tcPr>
          <w:p>
            <w:pPr>
              <w:spacing w:after="0"/>
              <w:rPr>
                <w:sz w:val="14"/>
                <w:szCs w:val="14"/>
                <w:color w:val="auto"/>
              </w:rPr>
            </w:pPr>
          </w:p>
        </w:tc>
        <w:tc>
          <w:tcPr>
            <w:tcW w:w="1980" w:type="dxa"/>
            <w:vAlign w:val="bottom"/>
            <w:tcBorders>
              <w:bottom w:val="single" w:sz="8" w:color="B8CCE4"/>
              <w:right w:val="single" w:sz="8" w:color="B6DDE8"/>
            </w:tcBorders>
          </w:tcPr>
          <w:p>
            <w:pPr>
              <w:spacing w:after="0"/>
              <w:rPr>
                <w:sz w:val="14"/>
                <w:szCs w:val="14"/>
                <w:color w:val="auto"/>
              </w:rPr>
            </w:pPr>
          </w:p>
        </w:tc>
      </w:tr>
      <w:tr>
        <w:trPr>
          <w:trHeight w:val="270"/>
        </w:trPr>
        <w:tc>
          <w:tcPr>
            <w:tcW w:w="7260" w:type="dxa"/>
            <w:vAlign w:val="bottom"/>
            <w:tcBorders>
              <w:left w:val="single" w:sz="8" w:color="B6DDE8"/>
              <w:bottom w:val="single" w:sz="8" w:color="BFE4FF"/>
              <w:right w:val="single" w:sz="8" w:color="B6DDE8"/>
            </w:tcBorders>
          </w:tcPr>
          <w:p>
            <w:pPr>
              <w:ind w:left="40"/>
              <w:spacing w:after="0"/>
              <w:rPr>
                <w:sz w:val="20"/>
                <w:szCs w:val="20"/>
                <w:color w:val="auto"/>
              </w:rPr>
            </w:pPr>
            <w:r>
              <w:rPr>
                <w:rFonts w:ascii="Arial" w:cs="Arial" w:eastAsia="Arial" w:hAnsi="Arial"/>
                <w:sz w:val="20"/>
                <w:szCs w:val="20"/>
                <w:b w:val="1"/>
                <w:bCs w:val="1"/>
                <w:color w:val="auto"/>
              </w:rPr>
              <w:t>2020 (3 months)</w:t>
            </w:r>
          </w:p>
        </w:tc>
        <w:tc>
          <w:tcPr>
            <w:tcW w:w="196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color w:val="auto"/>
              </w:rPr>
              <w:t>$1,068</w:t>
            </w:r>
          </w:p>
        </w:tc>
        <w:tc>
          <w:tcPr>
            <w:tcW w:w="198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color w:val="auto"/>
              </w:rPr>
              <w:t>$36</w:t>
            </w:r>
          </w:p>
        </w:tc>
      </w:tr>
      <w:tr>
        <w:trPr>
          <w:trHeight w:val="264"/>
        </w:trPr>
        <w:tc>
          <w:tcPr>
            <w:tcW w:w="7260" w:type="dxa"/>
            <w:vAlign w:val="bottom"/>
            <w:tcBorders>
              <w:left w:val="single" w:sz="8" w:color="B6DDE8"/>
              <w:bottom w:val="single" w:sz="8" w:color="B6DDE8"/>
              <w:right w:val="single" w:sz="8" w:color="B6DDE8"/>
            </w:tcBorders>
          </w:tcPr>
          <w:p>
            <w:pPr>
              <w:ind w:left="40"/>
              <w:spacing w:after="0"/>
              <w:rPr>
                <w:sz w:val="20"/>
                <w:szCs w:val="20"/>
                <w:color w:val="auto"/>
              </w:rPr>
            </w:pPr>
            <w:r>
              <w:rPr>
                <w:rFonts w:ascii="Arial" w:cs="Arial" w:eastAsia="Arial" w:hAnsi="Arial"/>
                <w:sz w:val="20"/>
                <w:szCs w:val="20"/>
                <w:b w:val="1"/>
                <w:bCs w:val="1"/>
                <w:color w:val="auto"/>
              </w:rPr>
              <w:t>2021</w:t>
            </w:r>
          </w:p>
        </w:tc>
        <w:tc>
          <w:tcPr>
            <w:tcW w:w="196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color w:val="auto"/>
              </w:rPr>
              <w:t>$3,402</w:t>
            </w:r>
          </w:p>
        </w:tc>
        <w:tc>
          <w:tcPr>
            <w:tcW w:w="198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color w:val="auto"/>
              </w:rPr>
              <w:t>$129</w:t>
            </w:r>
          </w:p>
        </w:tc>
      </w:tr>
      <w:tr>
        <w:trPr>
          <w:trHeight w:val="263"/>
        </w:trPr>
        <w:tc>
          <w:tcPr>
            <w:tcW w:w="7260" w:type="dxa"/>
            <w:vAlign w:val="bottom"/>
            <w:tcBorders>
              <w:left w:val="single" w:sz="8" w:color="B6DDE8"/>
              <w:bottom w:val="single" w:sz="8" w:color="B6DDE8"/>
              <w:right w:val="single" w:sz="8" w:color="B6DDE8"/>
            </w:tcBorders>
          </w:tcPr>
          <w:p>
            <w:pPr>
              <w:ind w:left="40"/>
              <w:spacing w:after="0"/>
              <w:rPr>
                <w:sz w:val="20"/>
                <w:szCs w:val="20"/>
                <w:color w:val="auto"/>
              </w:rPr>
            </w:pPr>
            <w:r>
              <w:rPr>
                <w:rFonts w:ascii="Arial" w:cs="Arial" w:eastAsia="Arial" w:hAnsi="Arial"/>
                <w:sz w:val="20"/>
                <w:szCs w:val="20"/>
                <w:b w:val="1"/>
                <w:bCs w:val="1"/>
                <w:color w:val="auto"/>
              </w:rPr>
              <w:t>2022 and beyond</w:t>
            </w:r>
          </w:p>
        </w:tc>
        <w:tc>
          <w:tcPr>
            <w:tcW w:w="196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color w:val="auto"/>
              </w:rPr>
              <w:t>$2,748</w:t>
            </w:r>
          </w:p>
        </w:tc>
        <w:tc>
          <w:tcPr>
            <w:tcW w:w="198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color w:val="auto"/>
              </w:rPr>
              <w:t>$509</w:t>
            </w:r>
          </w:p>
        </w:tc>
      </w:tr>
      <w:tr>
        <w:trPr>
          <w:trHeight w:val="263"/>
        </w:trPr>
        <w:tc>
          <w:tcPr>
            <w:tcW w:w="7260" w:type="dxa"/>
            <w:vAlign w:val="bottom"/>
            <w:tcBorders>
              <w:left w:val="single" w:sz="8" w:color="B6DDE8"/>
              <w:bottom w:val="single" w:sz="8" w:color="B6DDE8"/>
              <w:right w:val="single" w:sz="8" w:color="B6DDE8"/>
            </w:tcBorders>
          </w:tcPr>
          <w:p>
            <w:pPr>
              <w:ind w:left="40"/>
              <w:spacing w:after="0"/>
              <w:rPr>
                <w:sz w:val="20"/>
                <w:szCs w:val="20"/>
                <w:color w:val="auto"/>
              </w:rPr>
            </w:pPr>
            <w:r>
              <w:rPr>
                <w:rFonts w:ascii="Arial" w:cs="Arial" w:eastAsia="Arial" w:hAnsi="Arial"/>
                <w:sz w:val="20"/>
                <w:szCs w:val="20"/>
                <w:b w:val="1"/>
                <w:bCs w:val="1"/>
                <w:color w:val="auto"/>
              </w:rPr>
              <w:t>Total</w:t>
            </w:r>
          </w:p>
        </w:tc>
        <w:tc>
          <w:tcPr>
            <w:tcW w:w="196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b w:val="1"/>
                <w:bCs w:val="1"/>
                <w:color w:val="auto"/>
              </w:rPr>
              <w:t>$7,218</w:t>
            </w:r>
          </w:p>
        </w:tc>
        <w:tc>
          <w:tcPr>
            <w:tcW w:w="198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b w:val="1"/>
                <w:bCs w:val="1"/>
                <w:color w:val="auto"/>
              </w:rPr>
              <w:t>$674</w:t>
            </w:r>
          </w:p>
        </w:tc>
      </w:tr>
    </w:tbl>
    <w:p>
      <w:pPr>
        <w:ind w:left="140" w:hanging="114"/>
        <w:spacing w:after="0" w:line="211" w:lineRule="auto"/>
        <w:tabs>
          <w:tab w:leader="none" w:pos="140" w:val="left"/>
        </w:tabs>
        <w:numPr>
          <w:ilvl w:val="0"/>
          <w:numId w:val="5"/>
        </w:numPr>
        <w:rPr>
          <w:rFonts w:ascii="Arial" w:cs="Arial" w:eastAsia="Arial" w:hAnsi="Arial"/>
          <w:sz w:val="23"/>
          <w:szCs w:val="23"/>
          <w:i w:val="1"/>
          <w:iCs w:val="1"/>
          <w:color w:val="auto"/>
          <w:vertAlign w:val="superscript"/>
        </w:rPr>
      </w:pPr>
      <w:r>
        <w:rPr>
          <w:rFonts w:ascii="Arial" w:cs="Arial" w:eastAsia="Arial" w:hAnsi="Arial"/>
          <w:sz w:val="18"/>
          <w:szCs w:val="18"/>
          <w:i w:val="1"/>
          <w:iCs w:val="1"/>
          <w:color w:val="auto"/>
        </w:rPr>
        <w:t>Backlog in the period was increased by a foreign exchange impact of $78 million.</w:t>
      </w:r>
    </w:p>
    <w:p>
      <w:pPr>
        <w:spacing w:after="0" w:line="9" w:lineRule="exact"/>
        <w:rPr>
          <w:rFonts w:ascii="Arial" w:cs="Arial" w:eastAsia="Arial" w:hAnsi="Arial"/>
          <w:sz w:val="23"/>
          <w:szCs w:val="23"/>
          <w:i w:val="1"/>
          <w:iCs w:val="1"/>
          <w:color w:val="auto"/>
          <w:vertAlign w:val="superscript"/>
        </w:rPr>
      </w:pPr>
    </w:p>
    <w:p>
      <w:pPr>
        <w:ind w:left="20"/>
        <w:spacing w:after="0" w:line="208" w:lineRule="auto"/>
        <w:rPr>
          <w:rFonts w:ascii="Arial" w:cs="Arial" w:eastAsia="Arial" w:hAnsi="Arial"/>
          <w:sz w:val="23"/>
          <w:szCs w:val="23"/>
          <w:i w:val="1"/>
          <w:iCs w:val="1"/>
          <w:color w:val="auto"/>
          <w:vertAlign w:val="superscript"/>
        </w:rPr>
      </w:pPr>
      <w:r>
        <w:rPr>
          <w:rFonts w:ascii="Arial" w:cs="Arial" w:eastAsia="Arial" w:hAnsi="Arial"/>
          <w:sz w:val="23"/>
          <w:szCs w:val="23"/>
          <w:i w:val="1"/>
          <w:iCs w:val="1"/>
          <w:color w:val="auto"/>
          <w:vertAlign w:val="superscript"/>
        </w:rPr>
        <w:t>2</w:t>
      </w:r>
      <w:r>
        <w:rPr>
          <w:rFonts w:ascii="Arial" w:cs="Arial" w:eastAsia="Arial" w:hAnsi="Arial"/>
          <w:sz w:val="18"/>
          <w:szCs w:val="18"/>
          <w:i w:val="1"/>
          <w:iCs w:val="1"/>
          <w:color w:val="auto"/>
        </w:rPr>
        <w:t xml:space="preserve"> Backlog does not capture all revenue potential for Subsea Services.</w:t>
      </w:r>
    </w:p>
    <w:p>
      <w:pPr>
        <w:ind w:left="20" w:right="380" w:firstLine="6"/>
        <w:spacing w:after="0" w:line="201" w:lineRule="auto"/>
        <w:tabs>
          <w:tab w:leader="none" w:pos="135" w:val="left"/>
        </w:tabs>
        <w:numPr>
          <w:ilvl w:val="0"/>
          <w:numId w:val="6"/>
        </w:numPr>
        <w:rPr>
          <w:rFonts w:ascii="Arial" w:cs="Arial" w:eastAsia="Arial" w:hAnsi="Arial"/>
          <w:sz w:val="23"/>
          <w:szCs w:val="23"/>
          <w:color w:val="auto"/>
          <w:vertAlign w:val="superscript"/>
        </w:rPr>
      </w:pPr>
      <w:r>
        <w:rPr>
          <w:rFonts w:ascii="Arial" w:cs="Arial" w:eastAsia="Arial" w:hAnsi="Arial"/>
          <w:sz w:val="18"/>
          <w:szCs w:val="18"/>
          <w:i w:val="1"/>
          <w:iCs w:val="1"/>
          <w:color w:val="auto"/>
        </w:rPr>
        <w:t>Non-consolidated backlog reflects the proportional share of backlog related to joint ventures that is not consolidated due to our minority ownership position.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5040"/>
        <w:spacing w:after="0"/>
        <w:tabs>
          <w:tab w:leader="none" w:pos="1034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4 of 26</w:t>
      </w:r>
    </w:p>
    <w:p>
      <w:pPr>
        <w:sectPr>
          <w:pgSz w:w="11900" w:h="16838" w:orient="portrait"/>
          <w:cols w:equalWidth="0" w:num="1">
            <w:col w:w="11240"/>
          </w:cols>
          <w:pgMar w:left="320" w:top="1406" w:right="339" w:bottom="1440" w:gutter="0" w:footer="0" w:header="0"/>
        </w:sectPr>
      </w:pPr>
    </w:p>
    <w:bookmarkStart w:id="8" w:name="page9"/>
    <w:bookmarkEnd w:id="8"/>
    <w:p>
      <w:pPr>
        <w:spacing w:after="0" w:line="1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r>
    </w:p>
    <w:p>
      <w:pPr>
        <w:ind w:left="20"/>
        <w:spacing w:after="0"/>
        <w:rPr>
          <w:sz w:val="20"/>
          <w:szCs w:val="20"/>
          <w:color w:val="auto"/>
        </w:rPr>
      </w:pPr>
      <w:r>
        <w:rPr>
          <w:rFonts w:ascii="Arial" w:cs="Arial" w:eastAsia="Arial" w:hAnsi="Arial"/>
          <w:sz w:val="20"/>
          <w:szCs w:val="20"/>
          <w:b w:val="1"/>
          <w:bCs w:val="1"/>
          <w:color w:val="auto"/>
        </w:rPr>
        <w:t>Technip Energies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Financial Highlights</w:t>
      </w:r>
    </w:p>
    <w:p>
      <w:pPr>
        <w:spacing w:after="0" w:line="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Reconciliation of U.S. GAAP to non-GAAP financial measures are below and in financial schedules.</w:t>
      </w:r>
    </w:p>
    <w:p>
      <w:pPr>
        <w:spacing w:after="0" w:line="125" w:lineRule="exact"/>
        <w:rPr>
          <w:sz w:val="20"/>
          <w:szCs w:val="20"/>
          <w:color w:val="auto"/>
        </w:rPr>
      </w:pPr>
    </w:p>
    <w:tbl>
      <w:tblPr>
        <w:tblLayout w:type="fixed"/>
        <w:tblInd w:w="10" w:type="dxa"/>
        <w:tblCellMar>
          <w:top w:w="0" w:type="dxa"/>
          <w:left w:w="0" w:type="dxa"/>
          <w:bottom w:w="0" w:type="dxa"/>
          <w:right w:w="0" w:type="dxa"/>
        </w:tblCellMar>
      </w:tblPr>
      <w:tr>
        <w:trPr>
          <w:trHeight w:val="216"/>
        </w:trPr>
        <w:tc>
          <w:tcPr>
            <w:tcW w:w="5960" w:type="dxa"/>
            <w:vAlign w:val="bottom"/>
            <w:tcBorders>
              <w:top w:val="single" w:sz="8" w:color="B8CCE4"/>
              <w:left w:val="single" w:sz="8" w:color="B8CCE4"/>
              <w:right w:val="single" w:sz="8" w:color="B8CCE4"/>
            </w:tcBorders>
          </w:tcPr>
          <w:p>
            <w:pPr>
              <w:ind w:left="40"/>
              <w:spacing w:after="0"/>
              <w:rPr>
                <w:sz w:val="20"/>
                <w:szCs w:val="20"/>
                <w:color w:val="auto"/>
              </w:rPr>
            </w:pPr>
            <w:r>
              <w:rPr>
                <w:rFonts w:ascii="Arial" w:cs="Arial" w:eastAsia="Arial" w:hAnsi="Arial"/>
                <w:sz w:val="14"/>
                <w:szCs w:val="14"/>
                <w:b w:val="1"/>
                <w:bCs w:val="1"/>
                <w:color w:val="auto"/>
              </w:rPr>
              <w:t>Three Months Ended</w:t>
            </w:r>
          </w:p>
        </w:tc>
        <w:tc>
          <w:tcPr>
            <w:tcW w:w="1900" w:type="dxa"/>
            <w:vAlign w:val="bottom"/>
            <w:tcBorders>
              <w:top w:val="single" w:sz="8" w:color="B8CCE4"/>
              <w:right w:val="single" w:sz="8" w:color="B8CCE4"/>
            </w:tcBorders>
          </w:tcPr>
          <w:p>
            <w:pPr>
              <w:jc w:val="right"/>
              <w:ind w:right="368"/>
              <w:spacing w:after="0"/>
              <w:rPr>
                <w:sz w:val="20"/>
                <w:szCs w:val="20"/>
                <w:color w:val="auto"/>
              </w:rPr>
            </w:pPr>
            <w:r>
              <w:rPr>
                <w:rFonts w:ascii="Arial" w:cs="Arial" w:eastAsia="Arial" w:hAnsi="Arial"/>
                <w:sz w:val="14"/>
                <w:szCs w:val="14"/>
                <w:b w:val="1"/>
                <w:bCs w:val="1"/>
                <w:color w:val="auto"/>
              </w:rPr>
              <w:t>September 30,</w:t>
            </w:r>
          </w:p>
        </w:tc>
        <w:tc>
          <w:tcPr>
            <w:tcW w:w="1860" w:type="dxa"/>
            <w:vAlign w:val="bottom"/>
            <w:tcBorders>
              <w:top w:val="single" w:sz="8" w:color="B8CCE4"/>
              <w:right w:val="single" w:sz="8" w:color="B8CCE4"/>
            </w:tcBorders>
          </w:tcPr>
          <w:p>
            <w:pPr>
              <w:jc w:val="right"/>
              <w:ind w:right="368"/>
              <w:spacing w:after="0"/>
              <w:rPr>
                <w:sz w:val="20"/>
                <w:szCs w:val="20"/>
                <w:color w:val="auto"/>
              </w:rPr>
            </w:pPr>
            <w:r>
              <w:rPr>
                <w:rFonts w:ascii="Arial" w:cs="Arial" w:eastAsia="Arial" w:hAnsi="Arial"/>
                <w:sz w:val="14"/>
                <w:szCs w:val="14"/>
                <w:b w:val="1"/>
                <w:bCs w:val="1"/>
                <w:color w:val="auto"/>
              </w:rPr>
              <w:t>September 30,</w:t>
            </w:r>
          </w:p>
        </w:tc>
        <w:tc>
          <w:tcPr>
            <w:tcW w:w="1540" w:type="dxa"/>
            <w:vAlign w:val="bottom"/>
            <w:tcBorders>
              <w:top w:val="single" w:sz="8" w:color="B8CCE4"/>
              <w:right w:val="single" w:sz="8" w:color="B8CCE4"/>
            </w:tcBorders>
            <w:vMerge w:val="restart"/>
          </w:tcPr>
          <w:p>
            <w:pPr>
              <w:jc w:val="center"/>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76"/>
        </w:trPr>
        <w:tc>
          <w:tcPr>
            <w:tcW w:w="596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1900" w:type="dxa"/>
            <w:vAlign w:val="bottom"/>
            <w:tcBorders>
              <w:bottom w:val="single" w:sz="8" w:color="B8CCE4"/>
              <w:right w:val="single" w:sz="8" w:color="B8CCE4"/>
            </w:tcBorders>
          </w:tcPr>
          <w:p>
            <w:pPr>
              <w:jc w:val="right"/>
              <w:ind w:right="708"/>
              <w:spacing w:after="0"/>
              <w:rPr>
                <w:sz w:val="20"/>
                <w:szCs w:val="20"/>
                <w:color w:val="auto"/>
              </w:rPr>
            </w:pPr>
            <w:r>
              <w:rPr>
                <w:rFonts w:ascii="Arial" w:cs="Arial" w:eastAsia="Arial" w:hAnsi="Arial"/>
                <w:sz w:val="14"/>
                <w:szCs w:val="14"/>
                <w:b w:val="1"/>
                <w:bCs w:val="1"/>
                <w:color w:val="auto"/>
              </w:rPr>
              <w:t>2020</w:t>
            </w:r>
          </w:p>
        </w:tc>
        <w:tc>
          <w:tcPr>
            <w:tcW w:w="1860" w:type="dxa"/>
            <w:vAlign w:val="bottom"/>
            <w:tcBorders>
              <w:bottom w:val="single" w:sz="8" w:color="B8CCE4"/>
              <w:right w:val="single" w:sz="8" w:color="B8CCE4"/>
            </w:tcBorders>
          </w:tcPr>
          <w:p>
            <w:pPr>
              <w:jc w:val="right"/>
              <w:ind w:right="688"/>
              <w:spacing w:after="0"/>
              <w:rPr>
                <w:sz w:val="20"/>
                <w:szCs w:val="20"/>
                <w:color w:val="auto"/>
              </w:rPr>
            </w:pPr>
            <w:r>
              <w:rPr>
                <w:rFonts w:ascii="Arial" w:cs="Arial" w:eastAsia="Arial" w:hAnsi="Arial"/>
                <w:sz w:val="14"/>
                <w:szCs w:val="14"/>
                <w:b w:val="1"/>
                <w:bCs w:val="1"/>
                <w:color w:val="auto"/>
              </w:rPr>
              <w:t>2019</w:t>
            </w:r>
          </w:p>
        </w:tc>
        <w:tc>
          <w:tcPr>
            <w:tcW w:w="1540" w:type="dxa"/>
            <w:vAlign w:val="bottom"/>
            <w:tcBorders>
              <w:bottom w:val="single" w:sz="8" w:color="B8CCE4"/>
              <w:right w:val="single" w:sz="8" w:color="B8CCE4"/>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596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Revenue</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$1,608.2</w:t>
            </w:r>
          </w:p>
        </w:tc>
        <w:tc>
          <w:tcPr>
            <w:tcW w:w="18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$1,596.3</w:t>
            </w:r>
          </w:p>
        </w:tc>
        <w:tc>
          <w:tcPr>
            <w:tcW w:w="154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6"/>
              </w:rPr>
              <w:t>0.7%</w:t>
            </w:r>
          </w:p>
        </w:tc>
        <w:tc>
          <w:tcPr>
            <w:tcW w:w="0" w:type="dxa"/>
            <w:vAlign w:val="bottom"/>
          </w:tcPr>
          <w:p>
            <w:pPr>
              <w:spacing w:after="0"/>
              <w:rPr>
                <w:sz w:val="1"/>
                <w:szCs w:val="1"/>
                <w:color w:val="auto"/>
              </w:rPr>
            </w:pPr>
          </w:p>
        </w:tc>
      </w:tr>
      <w:tr>
        <w:trPr>
          <w:trHeight w:val="263"/>
        </w:trPr>
        <w:tc>
          <w:tcPr>
            <w:tcW w:w="596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Operating profit</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$129.5</w:t>
            </w:r>
          </w:p>
        </w:tc>
        <w:tc>
          <w:tcPr>
            <w:tcW w:w="18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$284.6</w:t>
            </w:r>
          </w:p>
        </w:tc>
        <w:tc>
          <w:tcPr>
            <w:tcW w:w="154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7"/>
              </w:rPr>
              <w:t>(54.5%)</w:t>
            </w:r>
          </w:p>
        </w:tc>
        <w:tc>
          <w:tcPr>
            <w:tcW w:w="0" w:type="dxa"/>
            <w:vAlign w:val="bottom"/>
          </w:tcPr>
          <w:p>
            <w:pPr>
              <w:spacing w:after="0"/>
              <w:rPr>
                <w:sz w:val="1"/>
                <w:szCs w:val="1"/>
                <w:color w:val="auto"/>
              </w:rPr>
            </w:pPr>
          </w:p>
        </w:tc>
      </w:tr>
      <w:tr>
        <w:trPr>
          <w:trHeight w:val="263"/>
        </w:trPr>
        <w:tc>
          <w:tcPr>
            <w:tcW w:w="596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Adjusted EBITDA</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$174.5</w:t>
            </w:r>
          </w:p>
        </w:tc>
        <w:tc>
          <w:tcPr>
            <w:tcW w:w="18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$304.2</w:t>
            </w:r>
          </w:p>
        </w:tc>
        <w:tc>
          <w:tcPr>
            <w:tcW w:w="154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7"/>
              </w:rPr>
              <w:t>(42.6%)</w:t>
            </w:r>
          </w:p>
        </w:tc>
        <w:tc>
          <w:tcPr>
            <w:tcW w:w="0" w:type="dxa"/>
            <w:vAlign w:val="bottom"/>
          </w:tcPr>
          <w:p>
            <w:pPr>
              <w:spacing w:after="0"/>
              <w:rPr>
                <w:sz w:val="1"/>
                <w:szCs w:val="1"/>
                <w:color w:val="auto"/>
              </w:rPr>
            </w:pPr>
          </w:p>
        </w:tc>
      </w:tr>
      <w:tr>
        <w:trPr>
          <w:trHeight w:val="264"/>
        </w:trPr>
        <w:tc>
          <w:tcPr>
            <w:tcW w:w="596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Adjusted EBITDA margin</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10.9 %</w:t>
            </w:r>
          </w:p>
        </w:tc>
        <w:tc>
          <w:tcPr>
            <w:tcW w:w="18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19.1 %</w:t>
            </w:r>
          </w:p>
        </w:tc>
        <w:tc>
          <w:tcPr>
            <w:tcW w:w="154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9"/>
              </w:rPr>
              <w:t>(820 bps)</w:t>
            </w:r>
          </w:p>
        </w:tc>
        <w:tc>
          <w:tcPr>
            <w:tcW w:w="0" w:type="dxa"/>
            <w:vAlign w:val="bottom"/>
          </w:tcPr>
          <w:p>
            <w:pPr>
              <w:spacing w:after="0"/>
              <w:rPr>
                <w:sz w:val="1"/>
                <w:szCs w:val="1"/>
                <w:color w:val="auto"/>
              </w:rPr>
            </w:pPr>
          </w:p>
        </w:tc>
      </w:tr>
      <w:tr>
        <w:trPr>
          <w:trHeight w:val="250"/>
        </w:trPr>
        <w:tc>
          <w:tcPr>
            <w:tcW w:w="5960" w:type="dxa"/>
            <w:vAlign w:val="bottom"/>
            <w:tcBorders>
              <w:left w:val="single" w:sz="8" w:color="B8CCE4"/>
              <w:bottom w:val="single" w:sz="8" w:color="B8CCE4"/>
            </w:tcBorders>
          </w:tcPr>
          <w:p>
            <w:pPr>
              <w:spacing w:after="0"/>
              <w:rPr>
                <w:sz w:val="21"/>
                <w:szCs w:val="21"/>
                <w:color w:val="auto"/>
              </w:rPr>
            </w:pPr>
          </w:p>
        </w:tc>
        <w:tc>
          <w:tcPr>
            <w:tcW w:w="1900" w:type="dxa"/>
            <w:vAlign w:val="bottom"/>
            <w:tcBorders>
              <w:bottom w:val="single" w:sz="8" w:color="B8CCE4"/>
            </w:tcBorders>
          </w:tcPr>
          <w:p>
            <w:pPr>
              <w:spacing w:after="0"/>
              <w:rPr>
                <w:sz w:val="21"/>
                <w:szCs w:val="21"/>
                <w:color w:val="auto"/>
              </w:rPr>
            </w:pPr>
          </w:p>
        </w:tc>
        <w:tc>
          <w:tcPr>
            <w:tcW w:w="1860" w:type="dxa"/>
            <w:vAlign w:val="bottom"/>
            <w:tcBorders>
              <w:bottom w:val="single" w:sz="8" w:color="B8CCE4"/>
            </w:tcBorders>
          </w:tcPr>
          <w:p>
            <w:pPr>
              <w:spacing w:after="0"/>
              <w:rPr>
                <w:sz w:val="21"/>
                <w:szCs w:val="21"/>
                <w:color w:val="auto"/>
              </w:rPr>
            </w:pPr>
          </w:p>
        </w:tc>
        <w:tc>
          <w:tcPr>
            <w:tcW w:w="1540" w:type="dxa"/>
            <w:vAlign w:val="bottom"/>
            <w:tcBorders>
              <w:bottom w:val="single" w:sz="8" w:color="B8CCE4"/>
              <w:right w:val="single" w:sz="8" w:color="B8CCE4"/>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596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Inbound orders</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$412.8</w:t>
            </w:r>
          </w:p>
        </w:tc>
        <w:tc>
          <w:tcPr>
            <w:tcW w:w="18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$696.0</w:t>
            </w:r>
          </w:p>
        </w:tc>
        <w:tc>
          <w:tcPr>
            <w:tcW w:w="154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7"/>
              </w:rPr>
              <w:t>(40.7%)</w:t>
            </w:r>
          </w:p>
        </w:tc>
        <w:tc>
          <w:tcPr>
            <w:tcW w:w="0" w:type="dxa"/>
            <w:vAlign w:val="bottom"/>
          </w:tcPr>
          <w:p>
            <w:pPr>
              <w:spacing w:after="0"/>
              <w:rPr>
                <w:sz w:val="1"/>
                <w:szCs w:val="1"/>
                <w:color w:val="auto"/>
              </w:rPr>
            </w:pPr>
          </w:p>
        </w:tc>
      </w:tr>
      <w:tr>
        <w:trPr>
          <w:trHeight w:val="263"/>
        </w:trPr>
        <w:tc>
          <w:tcPr>
            <w:tcW w:w="596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Backlog</w:t>
            </w:r>
          </w:p>
        </w:tc>
        <w:tc>
          <w:tcPr>
            <w:tcW w:w="19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$12,059.2</w:t>
            </w:r>
          </w:p>
        </w:tc>
        <w:tc>
          <w:tcPr>
            <w:tcW w:w="186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$15,030.8</w:t>
            </w:r>
          </w:p>
        </w:tc>
        <w:tc>
          <w:tcPr>
            <w:tcW w:w="154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7"/>
              </w:rPr>
              <w:t>(19.8%)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97" w:lineRule="exact"/>
        <w:rPr>
          <w:sz w:val="20"/>
          <w:szCs w:val="20"/>
          <w:color w:val="auto"/>
        </w:rPr>
      </w:pPr>
    </w:p>
    <w:p>
      <w:pPr>
        <w:jc w:val="both"/>
        <w:ind w:right="20"/>
        <w:spacing w:after="0" w:line="253" w:lineRule="auto"/>
        <w:rPr>
          <w:sz w:val="20"/>
          <w:szCs w:val="20"/>
          <w:color w:val="auto"/>
        </w:rPr>
      </w:pPr>
      <w:r>
        <w:rPr>
          <w:rFonts w:ascii="Arial" w:cs="Arial" w:eastAsia="Arial" w:hAnsi="Arial"/>
          <w:sz w:val="20"/>
          <w:szCs w:val="20"/>
          <w:color w:val="auto"/>
        </w:rPr>
        <w:t>Technip Energies reported third quarter revenue of $1,608.2 million, largely unchanged versus the prior-year quarter. Revenue benefited from the continued ramp-up of Arctic LNG 2 and higher activity on downstream projects in Africa, North America and India, which more than offset the anticipated decline in revenue from Yamal LNG. Sequentially, revenue increased 4.5 percent primarily driven by the improvement in operational efficiency related to our supply chain and construction sites.</w:t>
      </w:r>
    </w:p>
    <w:p>
      <w:pPr>
        <w:spacing w:after="0" w:line="137" w:lineRule="exact"/>
        <w:rPr>
          <w:sz w:val="20"/>
          <w:szCs w:val="20"/>
          <w:color w:val="auto"/>
        </w:rPr>
      </w:pPr>
    </w:p>
    <w:p>
      <w:pPr>
        <w:jc w:val="both"/>
        <w:ind w:right="20"/>
        <w:spacing w:after="0" w:line="249" w:lineRule="auto"/>
        <w:rPr>
          <w:sz w:val="20"/>
          <w:szCs w:val="20"/>
          <w:color w:val="auto"/>
        </w:rPr>
      </w:pPr>
      <w:r>
        <w:rPr>
          <w:rFonts w:ascii="Arial" w:cs="Arial" w:eastAsia="Arial" w:hAnsi="Arial"/>
          <w:sz w:val="20"/>
          <w:szCs w:val="20"/>
          <w:color w:val="auto"/>
        </w:rPr>
        <w:t>Technip Energies reported operating profit of $129.5 million; adjusted EBITDA was $ 174.5 million with a margin of 10.9 percent. Operating profit decreased 54.5 percent versus the prior-year quarter primarily due to a reduced contribution from Yamal LNG and lower margin realization on early phase projects, including Arctic LNG 2. Despite the challenging environment, project execution remained strong across the portfolio. Sequentially, operating profit increased 9.7 percent when excluding the benefit of the favorable litigation settlement in the second quarter of $113.2 million.</w:t>
      </w:r>
    </w:p>
    <w:p>
      <w:pPr>
        <w:spacing w:after="0" w:line="224" w:lineRule="exact"/>
        <w:rPr>
          <w:sz w:val="20"/>
          <w:szCs w:val="20"/>
          <w:color w:val="auto"/>
        </w:rPr>
      </w:pPr>
    </w:p>
    <w:p>
      <w:pPr>
        <w:spacing w:after="0"/>
        <w:rPr>
          <w:sz w:val="20"/>
          <w:szCs w:val="20"/>
          <w:color w:val="auto"/>
        </w:rPr>
      </w:pPr>
      <w:r>
        <w:rPr>
          <w:rFonts w:ascii="Arial" w:cs="Arial" w:eastAsia="Arial" w:hAnsi="Arial"/>
          <w:sz w:val="20"/>
          <w:szCs w:val="20"/>
          <w:color w:val="auto"/>
        </w:rPr>
        <w:t>Third Quarter Technip Energies Highlights</w:t>
      </w:r>
    </w:p>
    <w:p>
      <w:pPr>
        <w:spacing w:after="0" w:line="79" w:lineRule="exact"/>
        <w:rPr>
          <w:sz w:val="20"/>
          <w:szCs w:val="20"/>
          <w:color w:val="auto"/>
        </w:rPr>
      </w:pPr>
    </w:p>
    <w:p>
      <w:pPr>
        <w:ind w:left="640" w:hanging="308"/>
        <w:spacing w:after="0"/>
        <w:tabs>
          <w:tab w:leader="none" w:pos="640" w:val="left"/>
        </w:tabs>
        <w:numPr>
          <w:ilvl w:val="0"/>
          <w:numId w:val="7"/>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Arctic LNG 2 </w:t>
      </w:r>
      <w:r>
        <w:rPr>
          <w:rFonts w:ascii="Arial" w:cs="Arial" w:eastAsia="Arial" w:hAnsi="Arial"/>
          <w:sz w:val="17"/>
          <w:szCs w:val="17"/>
          <w:b w:val="1"/>
          <w:bCs w:val="1"/>
          <w:color w:val="auto"/>
        </w:rPr>
        <w:t>(Russia)</w:t>
      </w:r>
    </w:p>
    <w:p>
      <w:pPr>
        <w:spacing w:after="0" w:line="27" w:lineRule="exact"/>
        <w:rPr>
          <w:rFonts w:ascii="Arial" w:cs="Arial" w:eastAsia="Arial" w:hAnsi="Arial"/>
          <w:sz w:val="20"/>
          <w:szCs w:val="20"/>
          <w:b w:val="1"/>
          <w:bCs w:val="1"/>
          <w:color w:val="auto"/>
        </w:rPr>
      </w:pPr>
    </w:p>
    <w:p>
      <w:pPr>
        <w:ind w:left="660"/>
        <w:spacing w:after="0"/>
        <w:rPr>
          <w:rFonts w:ascii="Arial" w:cs="Arial" w:eastAsia="Arial" w:hAnsi="Arial"/>
          <w:sz w:val="20"/>
          <w:szCs w:val="20"/>
          <w:b w:val="1"/>
          <w:bCs w:val="1"/>
          <w:color w:val="auto"/>
        </w:rPr>
      </w:pPr>
      <w:r>
        <w:rPr>
          <w:rFonts w:ascii="Arial" w:cs="Arial" w:eastAsia="Arial" w:hAnsi="Arial"/>
          <w:sz w:val="20"/>
          <w:szCs w:val="20"/>
          <w:color w:val="auto"/>
        </w:rPr>
        <w:t>Construction progressing at all yards in China and on-site in the Gydan peninsula.</w:t>
      </w:r>
    </w:p>
    <w:p>
      <w:pPr>
        <w:spacing w:after="0" w:line="79" w:lineRule="exact"/>
        <w:rPr>
          <w:rFonts w:ascii="Arial" w:cs="Arial" w:eastAsia="Arial" w:hAnsi="Arial"/>
          <w:sz w:val="20"/>
          <w:szCs w:val="20"/>
          <w:b w:val="1"/>
          <w:bCs w:val="1"/>
          <w:color w:val="auto"/>
        </w:rPr>
      </w:pPr>
    </w:p>
    <w:p>
      <w:pPr>
        <w:ind w:left="640" w:hanging="308"/>
        <w:spacing w:after="0"/>
        <w:tabs>
          <w:tab w:leader="none" w:pos="640" w:val="left"/>
        </w:tabs>
        <w:numPr>
          <w:ilvl w:val="0"/>
          <w:numId w:val="7"/>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Eni Coral South FLNG </w:t>
      </w:r>
      <w:r>
        <w:rPr>
          <w:rFonts w:ascii="Arial" w:cs="Arial" w:eastAsia="Arial" w:hAnsi="Arial"/>
          <w:sz w:val="17"/>
          <w:szCs w:val="17"/>
          <w:b w:val="1"/>
          <w:bCs w:val="1"/>
          <w:color w:val="auto"/>
        </w:rPr>
        <w:t>(Mozambique)</w:t>
      </w:r>
    </w:p>
    <w:p>
      <w:pPr>
        <w:spacing w:after="0" w:line="27" w:lineRule="exact"/>
        <w:rPr>
          <w:rFonts w:ascii="Arial" w:cs="Arial" w:eastAsia="Arial" w:hAnsi="Arial"/>
          <w:sz w:val="20"/>
          <w:szCs w:val="20"/>
          <w:b w:val="1"/>
          <w:bCs w:val="1"/>
          <w:color w:val="auto"/>
        </w:rPr>
      </w:pPr>
    </w:p>
    <w:p>
      <w:pPr>
        <w:ind w:left="660" w:right="20"/>
        <w:spacing w:after="0" w:line="253" w:lineRule="auto"/>
        <w:rPr>
          <w:rFonts w:ascii="Arial" w:cs="Arial" w:eastAsia="Arial" w:hAnsi="Arial"/>
          <w:sz w:val="20"/>
          <w:szCs w:val="20"/>
          <w:b w:val="1"/>
          <w:bCs w:val="1"/>
          <w:color w:val="auto"/>
        </w:rPr>
      </w:pPr>
      <w:r>
        <w:rPr>
          <w:rFonts w:ascii="Arial" w:cs="Arial" w:eastAsia="Arial" w:hAnsi="Arial"/>
          <w:sz w:val="20"/>
          <w:szCs w:val="20"/>
          <w:color w:val="auto"/>
        </w:rPr>
        <w:t>Seven out of thirteen modules were installed on the hull in South Korea, confirming the good progress of the module lifting campaign and integration phase.</w:t>
      </w:r>
    </w:p>
    <w:p>
      <w:pPr>
        <w:spacing w:after="0" w:line="54" w:lineRule="exact"/>
        <w:rPr>
          <w:rFonts w:ascii="Arial" w:cs="Arial" w:eastAsia="Arial" w:hAnsi="Arial"/>
          <w:sz w:val="20"/>
          <w:szCs w:val="20"/>
          <w:b w:val="1"/>
          <w:bCs w:val="1"/>
          <w:color w:val="auto"/>
        </w:rPr>
      </w:pPr>
    </w:p>
    <w:p>
      <w:pPr>
        <w:ind w:left="640" w:hanging="308"/>
        <w:spacing w:after="0"/>
        <w:tabs>
          <w:tab w:leader="none" w:pos="640" w:val="left"/>
        </w:tabs>
        <w:numPr>
          <w:ilvl w:val="0"/>
          <w:numId w:val="7"/>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Dow Chemical Company LHC-9 </w:t>
      </w:r>
      <w:r>
        <w:rPr>
          <w:rFonts w:ascii="Arial" w:cs="Arial" w:eastAsia="Arial" w:hAnsi="Arial"/>
          <w:sz w:val="17"/>
          <w:szCs w:val="17"/>
          <w:b w:val="1"/>
          <w:bCs w:val="1"/>
          <w:color w:val="auto"/>
        </w:rPr>
        <w:t>(United States)</w:t>
      </w:r>
    </w:p>
    <w:p>
      <w:pPr>
        <w:spacing w:after="0" w:line="27" w:lineRule="exact"/>
        <w:rPr>
          <w:rFonts w:ascii="Arial" w:cs="Arial" w:eastAsia="Arial" w:hAnsi="Arial"/>
          <w:sz w:val="20"/>
          <w:szCs w:val="20"/>
          <w:b w:val="1"/>
          <w:bCs w:val="1"/>
          <w:color w:val="auto"/>
        </w:rPr>
      </w:pPr>
    </w:p>
    <w:p>
      <w:pPr>
        <w:ind w:left="660" w:right="20"/>
        <w:spacing w:after="0" w:line="253" w:lineRule="auto"/>
        <w:rPr>
          <w:rFonts w:ascii="Arial" w:cs="Arial" w:eastAsia="Arial" w:hAnsi="Arial"/>
          <w:sz w:val="20"/>
          <w:szCs w:val="20"/>
          <w:b w:val="1"/>
          <w:bCs w:val="1"/>
          <w:color w:val="auto"/>
        </w:rPr>
      </w:pPr>
      <w:r>
        <w:rPr>
          <w:rFonts w:ascii="Arial" w:cs="Arial" w:eastAsia="Arial" w:hAnsi="Arial"/>
          <w:sz w:val="20"/>
          <w:szCs w:val="20"/>
          <w:color w:val="auto"/>
        </w:rPr>
        <w:t>Our technology and design expertise have helped Dow achieve well over 2,000 KTA capacity at their new U.S. Gulf Coast steam cracker, the largest operating ethylene unit in the world.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5040"/>
        <w:spacing w:after="0"/>
        <w:tabs>
          <w:tab w:leader="none" w:pos="1034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5 of 26</w:t>
      </w:r>
    </w:p>
    <w:p>
      <w:pPr>
        <w:sectPr>
          <w:pgSz w:w="11900" w:h="16838" w:orient="portrait"/>
          <w:cols w:equalWidth="0" w:num="1">
            <w:col w:w="11260"/>
          </w:cols>
          <w:pgMar w:left="320" w:top="1440" w:right="319" w:bottom="1440" w:gutter="0" w:footer="0" w:header="0"/>
        </w:sectPr>
      </w:pPr>
    </w:p>
    <w:bookmarkStart w:id="9" w:name="page10"/>
    <w:bookmarkEnd w:id="9"/>
    <w:p>
      <w:pPr>
        <w:spacing w:after="0"/>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t>Partnership and Alliance Highlights</w:t>
      </w:r>
    </w:p>
    <w:p>
      <w:pPr>
        <w:spacing w:after="0" w:line="106" w:lineRule="exact"/>
        <w:rPr>
          <w:sz w:val="20"/>
          <w:szCs w:val="20"/>
          <w:color w:val="auto"/>
        </w:rPr>
      </w:pPr>
    </w:p>
    <w:p>
      <w:pPr>
        <w:ind w:left="640" w:hanging="308"/>
        <w:spacing w:after="0"/>
        <w:tabs>
          <w:tab w:leader="none" w:pos="640" w:val="left"/>
        </w:tabs>
        <w:numPr>
          <w:ilvl w:val="0"/>
          <w:numId w:val="8"/>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LanzaTech Sustainable Aviation Fuel Biorefinery </w:t>
      </w:r>
      <w:r>
        <w:rPr>
          <w:rFonts w:ascii="Arial" w:cs="Arial" w:eastAsia="Arial" w:hAnsi="Arial"/>
          <w:sz w:val="17"/>
          <w:szCs w:val="17"/>
          <w:b w:val="1"/>
          <w:bCs w:val="1"/>
          <w:color w:val="auto"/>
        </w:rPr>
        <w:t>(United States)</w:t>
      </w:r>
    </w:p>
    <w:p>
      <w:pPr>
        <w:spacing w:after="0" w:line="27" w:lineRule="exact"/>
        <w:rPr>
          <w:rFonts w:ascii="Arial" w:cs="Arial" w:eastAsia="Arial" w:hAnsi="Arial"/>
          <w:sz w:val="20"/>
          <w:szCs w:val="20"/>
          <w:b w:val="1"/>
          <w:bCs w:val="1"/>
          <w:color w:val="auto"/>
        </w:rPr>
      </w:pPr>
    </w:p>
    <w:p>
      <w:pPr>
        <w:jc w:val="both"/>
        <w:ind w:left="660"/>
        <w:spacing w:after="0" w:line="242" w:lineRule="auto"/>
        <w:rPr>
          <w:rFonts w:ascii="Arial" w:cs="Arial" w:eastAsia="Arial" w:hAnsi="Arial"/>
          <w:sz w:val="20"/>
          <w:szCs w:val="20"/>
          <w:b w:val="1"/>
          <w:bCs w:val="1"/>
          <w:color w:val="auto"/>
        </w:rPr>
      </w:pPr>
      <w:r>
        <w:rPr>
          <w:rFonts w:ascii="Arial" w:cs="Arial" w:eastAsia="Arial" w:hAnsi="Arial"/>
          <w:sz w:val="20"/>
          <w:szCs w:val="20"/>
          <w:color w:val="auto"/>
        </w:rPr>
        <w:t>TechnipFMC’s proprietary Hummingbird® ethanol-to-ethylene technology has been selected by LanzaTech for a key application which, when combined with LanzaTech’s Alcohol-to-Jet (ATJ) technology, can be used to manufacture sustainable aviation fuel (SAF) using ethanol as raw material. These sustainable technologies will be deployed in a first commercial demonstration-scale integrated biorefinery at LanzaTech’s Freedom Pines site in Georgia, U.S., that will produce 10 million gallons per year of SAF and renewable diesel starting from sustainable ethanol sources.</w:t>
      </w:r>
    </w:p>
    <w:p>
      <w:pPr>
        <w:spacing w:after="0" w:line="313" w:lineRule="exact"/>
        <w:rPr>
          <w:sz w:val="20"/>
          <w:szCs w:val="20"/>
          <w:color w:val="auto"/>
        </w:rPr>
      </w:pPr>
    </w:p>
    <w:p>
      <w:pPr>
        <w:spacing w:after="0" w:line="280" w:lineRule="auto"/>
        <w:rPr>
          <w:sz w:val="20"/>
          <w:szCs w:val="20"/>
          <w:color w:val="auto"/>
        </w:rPr>
      </w:pPr>
      <w:r>
        <w:rPr>
          <w:rFonts w:ascii="Arial" w:cs="Arial" w:eastAsia="Arial" w:hAnsi="Arial"/>
          <w:sz w:val="20"/>
          <w:szCs w:val="20"/>
          <w:color w:val="auto"/>
        </w:rPr>
        <w:t>Technip Energies inbound orders were $412.8 million for the quarter, resulting in a book-to-bill of 0.3. The following announced award and early engagement studies were included in the period:</w:t>
      </w:r>
    </w:p>
    <w:p>
      <w:pPr>
        <w:spacing w:after="0" w:line="163" w:lineRule="exact"/>
        <w:rPr>
          <w:sz w:val="20"/>
          <w:szCs w:val="20"/>
          <w:color w:val="auto"/>
        </w:rPr>
      </w:pPr>
    </w:p>
    <w:p>
      <w:pPr>
        <w:ind w:left="640" w:hanging="308"/>
        <w:spacing w:after="0"/>
        <w:tabs>
          <w:tab w:leader="none" w:pos="640" w:val="left"/>
        </w:tabs>
        <w:numPr>
          <w:ilvl w:val="0"/>
          <w:numId w:val="9"/>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Shell Moerdijk Plant Ethylene Furnaces Modernization </w:t>
      </w:r>
      <w:r>
        <w:rPr>
          <w:rFonts w:ascii="Arial" w:cs="Arial" w:eastAsia="Arial" w:hAnsi="Arial"/>
          <w:sz w:val="17"/>
          <w:szCs w:val="17"/>
          <w:b w:val="1"/>
          <w:bCs w:val="1"/>
          <w:color w:val="auto"/>
        </w:rPr>
        <w:t>(Netherlands)</w:t>
      </w:r>
    </w:p>
    <w:p>
      <w:pPr>
        <w:spacing w:after="0" w:line="27" w:lineRule="exact"/>
        <w:rPr>
          <w:rFonts w:ascii="Arial" w:cs="Arial" w:eastAsia="Arial" w:hAnsi="Arial"/>
          <w:sz w:val="20"/>
          <w:szCs w:val="20"/>
          <w:b w:val="1"/>
          <w:bCs w:val="1"/>
          <w:color w:val="auto"/>
        </w:rPr>
      </w:pPr>
    </w:p>
    <w:p>
      <w:pPr>
        <w:jc w:val="both"/>
        <w:ind w:left="660"/>
        <w:spacing w:after="0" w:line="239" w:lineRule="auto"/>
        <w:rPr>
          <w:rFonts w:ascii="Arial" w:cs="Arial" w:eastAsia="Arial" w:hAnsi="Arial"/>
          <w:sz w:val="20"/>
          <w:szCs w:val="20"/>
          <w:b w:val="1"/>
          <w:bCs w:val="1"/>
          <w:color w:val="auto"/>
        </w:rPr>
      </w:pPr>
      <w:r>
        <w:rPr>
          <w:rFonts w:ascii="Arial" w:cs="Arial" w:eastAsia="Arial" w:hAnsi="Arial"/>
          <w:sz w:val="20"/>
          <w:szCs w:val="20"/>
          <w:color w:val="auto"/>
        </w:rPr>
        <w:t>Significant* Engineering, Procurement and module Fabrication (EPF) contract from Shell Moerdijk for proprietary equipment and related services for eight ethylene furnaces at the Moerdijk petrochemicals complex. The new furnaces will utilize TechnipFMC’s innovative multi-line radiant coil design and will replace 16 older units without reducing capacity at the facility, while increasing energy efficiency and reducing greenhouse gas emissions.</w:t>
      </w:r>
    </w:p>
    <w:p>
      <w:pPr>
        <w:spacing w:after="0" w:line="1" w:lineRule="exact"/>
        <w:rPr>
          <w:rFonts w:ascii="Arial" w:cs="Arial" w:eastAsia="Arial" w:hAnsi="Arial"/>
          <w:sz w:val="20"/>
          <w:szCs w:val="20"/>
          <w:b w:val="1"/>
          <w:bCs w:val="1"/>
          <w:color w:val="auto"/>
        </w:rPr>
      </w:pPr>
    </w:p>
    <w:p>
      <w:pPr>
        <w:ind w:left="660"/>
        <w:spacing w:after="0"/>
        <w:rPr>
          <w:rFonts w:ascii="Arial" w:cs="Arial" w:eastAsia="Arial" w:hAnsi="Arial"/>
          <w:sz w:val="20"/>
          <w:szCs w:val="20"/>
          <w:b w:val="1"/>
          <w:bCs w:val="1"/>
          <w:color w:val="auto"/>
        </w:rPr>
      </w:pPr>
      <w:r>
        <w:rPr>
          <w:rFonts w:ascii="Arial" w:cs="Arial" w:eastAsia="Arial" w:hAnsi="Arial"/>
          <w:sz w:val="20"/>
          <w:szCs w:val="20"/>
          <w:i w:val="1"/>
          <w:iCs w:val="1"/>
          <w:color w:val="auto"/>
        </w:rPr>
        <w:t>*A “significant” award ranges between $75 million and $250 million.</w:t>
      </w:r>
    </w:p>
    <w:p>
      <w:pPr>
        <w:spacing w:after="0" w:line="79" w:lineRule="exact"/>
        <w:rPr>
          <w:rFonts w:ascii="Arial" w:cs="Arial" w:eastAsia="Arial" w:hAnsi="Arial"/>
          <w:sz w:val="20"/>
          <w:szCs w:val="20"/>
          <w:b w:val="1"/>
          <w:bCs w:val="1"/>
          <w:color w:val="auto"/>
        </w:rPr>
      </w:pPr>
    </w:p>
    <w:p>
      <w:pPr>
        <w:ind w:left="640" w:hanging="308"/>
        <w:spacing w:after="0"/>
        <w:tabs>
          <w:tab w:leader="none" w:pos="640" w:val="left"/>
        </w:tabs>
        <w:numPr>
          <w:ilvl w:val="0"/>
          <w:numId w:val="9"/>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Sakhalin-1 Russian Far East LNG Plant </w:t>
      </w:r>
      <w:r>
        <w:rPr>
          <w:rFonts w:ascii="Arial" w:cs="Arial" w:eastAsia="Arial" w:hAnsi="Arial"/>
          <w:sz w:val="17"/>
          <w:szCs w:val="17"/>
          <w:b w:val="1"/>
          <w:bCs w:val="1"/>
          <w:color w:val="auto"/>
        </w:rPr>
        <w:t>(Russian Federation)</w:t>
      </w:r>
    </w:p>
    <w:p>
      <w:pPr>
        <w:spacing w:after="0" w:line="27" w:lineRule="exact"/>
        <w:rPr>
          <w:rFonts w:ascii="Arial" w:cs="Arial" w:eastAsia="Arial" w:hAnsi="Arial"/>
          <w:sz w:val="20"/>
          <w:szCs w:val="20"/>
          <w:b w:val="1"/>
          <w:bCs w:val="1"/>
          <w:color w:val="auto"/>
        </w:rPr>
      </w:pPr>
    </w:p>
    <w:p>
      <w:pPr>
        <w:ind w:left="660"/>
        <w:spacing w:after="0" w:line="246" w:lineRule="auto"/>
        <w:rPr>
          <w:rFonts w:ascii="Arial" w:cs="Arial" w:eastAsia="Arial" w:hAnsi="Arial"/>
          <w:sz w:val="20"/>
          <w:szCs w:val="20"/>
          <w:b w:val="1"/>
          <w:bCs w:val="1"/>
          <w:color w:val="auto"/>
        </w:rPr>
      </w:pPr>
      <w:r>
        <w:rPr>
          <w:rFonts w:ascii="Arial" w:cs="Arial" w:eastAsia="Arial" w:hAnsi="Arial"/>
          <w:sz w:val="20"/>
          <w:szCs w:val="20"/>
          <w:color w:val="auto"/>
        </w:rPr>
        <w:t>Awarded FEED contract by Exxon Neftegas Ltd for the 6.2Mtpa LNG plant to be built in De-Kastri, Khabarovsk Krai in Russia. This award demonstrates our leadership in engineering services and EPC for significant LNG projects.</w:t>
      </w:r>
    </w:p>
    <w:p>
      <w:pPr>
        <w:spacing w:after="0" w:line="1" w:lineRule="exact"/>
        <w:rPr>
          <w:rFonts w:ascii="Arial" w:cs="Arial" w:eastAsia="Arial" w:hAnsi="Arial"/>
          <w:sz w:val="20"/>
          <w:szCs w:val="20"/>
          <w:b w:val="1"/>
          <w:bCs w:val="1"/>
          <w:color w:val="auto"/>
        </w:rPr>
      </w:pPr>
    </w:p>
    <w:p>
      <w:pPr>
        <w:ind w:left="640" w:hanging="308"/>
        <w:spacing w:after="0"/>
        <w:tabs>
          <w:tab w:leader="none" w:pos="640" w:val="left"/>
        </w:tabs>
        <w:numPr>
          <w:ilvl w:val="0"/>
          <w:numId w:val="9"/>
        </w:numPr>
        <w:rPr>
          <w:rFonts w:ascii="Arial" w:cs="Arial" w:eastAsia="Arial" w:hAnsi="Arial"/>
          <w:sz w:val="20"/>
          <w:szCs w:val="20"/>
          <w:b w:val="1"/>
          <w:bCs w:val="1"/>
          <w:color w:val="auto"/>
        </w:rPr>
      </w:pPr>
      <w:r>
        <w:rPr>
          <w:rFonts w:ascii="Arial" w:cs="Arial" w:eastAsia="Arial" w:hAnsi="Arial"/>
          <w:sz w:val="20"/>
          <w:szCs w:val="20"/>
          <w:b w:val="1"/>
          <w:bCs w:val="1"/>
          <w:color w:val="auto"/>
        </w:rPr>
        <w:t>Qatar CO</w:t>
      </w:r>
      <w:r>
        <w:rPr>
          <w:rFonts w:ascii="Arial" w:cs="Arial" w:eastAsia="Arial" w:hAnsi="Arial"/>
          <w:sz w:val="25"/>
          <w:szCs w:val="25"/>
          <w:b w:val="1"/>
          <w:bCs w:val="1"/>
          <w:color w:val="auto"/>
          <w:vertAlign w:val="subscript"/>
        </w:rPr>
        <w:t>2</w:t>
      </w:r>
      <w:r>
        <w:rPr>
          <w:rFonts w:ascii="Arial" w:cs="Arial" w:eastAsia="Arial" w:hAnsi="Arial"/>
          <w:sz w:val="20"/>
          <w:szCs w:val="20"/>
          <w:b w:val="1"/>
          <w:bCs w:val="1"/>
          <w:color w:val="auto"/>
        </w:rPr>
        <w:t xml:space="preserve"> Sequestration </w:t>
      </w:r>
      <w:r>
        <w:rPr>
          <w:rFonts w:ascii="Arial" w:cs="Arial" w:eastAsia="Arial" w:hAnsi="Arial"/>
          <w:sz w:val="17"/>
          <w:szCs w:val="17"/>
          <w:b w:val="1"/>
          <w:bCs w:val="1"/>
          <w:color w:val="auto"/>
        </w:rPr>
        <w:t>(Qatar)</w:t>
      </w:r>
    </w:p>
    <w:p>
      <w:pPr>
        <w:spacing w:after="0" w:line="36" w:lineRule="exact"/>
        <w:rPr>
          <w:rFonts w:ascii="Arial" w:cs="Arial" w:eastAsia="Arial" w:hAnsi="Arial"/>
          <w:sz w:val="20"/>
          <w:szCs w:val="20"/>
          <w:b w:val="1"/>
          <w:bCs w:val="1"/>
          <w:color w:val="auto"/>
        </w:rPr>
      </w:pPr>
    </w:p>
    <w:p>
      <w:pPr>
        <w:ind w:left="660"/>
        <w:spacing w:after="0" w:line="219" w:lineRule="auto"/>
        <w:rPr>
          <w:rFonts w:ascii="Arial" w:cs="Arial" w:eastAsia="Arial" w:hAnsi="Arial"/>
          <w:sz w:val="20"/>
          <w:szCs w:val="20"/>
          <w:b w:val="1"/>
          <w:bCs w:val="1"/>
          <w:color w:val="auto"/>
        </w:rPr>
      </w:pPr>
      <w:r>
        <w:rPr>
          <w:rFonts w:ascii="Arial" w:cs="Arial" w:eastAsia="Arial" w:hAnsi="Arial"/>
          <w:sz w:val="20"/>
          <w:szCs w:val="20"/>
          <w:color w:val="auto"/>
        </w:rPr>
        <w:t>Awarded the engineering study and pre-FEED contract for a 5Mtpa CO</w:t>
      </w:r>
      <w:r>
        <w:rPr>
          <w:rFonts w:ascii="Arial" w:cs="Arial" w:eastAsia="Arial" w:hAnsi="Arial"/>
          <w:sz w:val="25"/>
          <w:szCs w:val="25"/>
          <w:color w:val="auto"/>
          <w:vertAlign w:val="subscript"/>
        </w:rPr>
        <w:t>2</w:t>
      </w:r>
      <w:r>
        <w:rPr>
          <w:rFonts w:ascii="Arial" w:cs="Arial" w:eastAsia="Arial" w:hAnsi="Arial"/>
          <w:sz w:val="20"/>
          <w:szCs w:val="20"/>
          <w:color w:val="auto"/>
        </w:rPr>
        <w:t xml:space="preserve"> project in Qatar; this is the largest carbon recovery and sequestration facility in the region.</w:t>
      </w:r>
    </w:p>
    <w:p>
      <w:pPr>
        <w:spacing w:after="0" w:line="66" w:lineRule="exact"/>
        <w:rPr>
          <w:rFonts w:ascii="Arial" w:cs="Arial" w:eastAsia="Arial" w:hAnsi="Arial"/>
          <w:sz w:val="20"/>
          <w:szCs w:val="20"/>
          <w:b w:val="1"/>
          <w:bCs w:val="1"/>
          <w:color w:val="auto"/>
        </w:rPr>
      </w:pPr>
    </w:p>
    <w:p>
      <w:pPr>
        <w:ind w:left="640" w:hanging="308"/>
        <w:spacing w:after="0"/>
        <w:tabs>
          <w:tab w:leader="none" w:pos="640" w:val="left"/>
        </w:tabs>
        <w:numPr>
          <w:ilvl w:val="0"/>
          <w:numId w:val="9"/>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Hydrogen Generation </w:t>
      </w:r>
      <w:r>
        <w:rPr>
          <w:rFonts w:ascii="Arial" w:cs="Arial" w:eastAsia="Arial" w:hAnsi="Arial"/>
          <w:sz w:val="17"/>
          <w:szCs w:val="17"/>
          <w:b w:val="1"/>
          <w:bCs w:val="1"/>
          <w:color w:val="auto"/>
        </w:rPr>
        <w:t>(U.K. North Sea)</w:t>
      </w:r>
    </w:p>
    <w:p>
      <w:pPr>
        <w:spacing w:after="0" w:line="27" w:lineRule="exact"/>
        <w:rPr>
          <w:rFonts w:ascii="Arial" w:cs="Arial" w:eastAsia="Arial" w:hAnsi="Arial"/>
          <w:sz w:val="20"/>
          <w:szCs w:val="20"/>
          <w:b w:val="1"/>
          <w:bCs w:val="1"/>
          <w:color w:val="auto"/>
        </w:rPr>
      </w:pPr>
    </w:p>
    <w:p>
      <w:pPr>
        <w:ind w:left="660" w:right="20"/>
        <w:spacing w:after="0" w:line="253" w:lineRule="auto"/>
        <w:rPr>
          <w:rFonts w:ascii="Arial" w:cs="Arial" w:eastAsia="Arial" w:hAnsi="Arial"/>
          <w:sz w:val="20"/>
          <w:szCs w:val="20"/>
          <w:b w:val="1"/>
          <w:bCs w:val="1"/>
          <w:color w:val="auto"/>
        </w:rPr>
      </w:pPr>
      <w:r>
        <w:rPr>
          <w:rFonts w:ascii="Arial" w:cs="Arial" w:eastAsia="Arial" w:hAnsi="Arial"/>
          <w:sz w:val="20"/>
          <w:szCs w:val="20"/>
          <w:color w:val="auto"/>
        </w:rPr>
        <w:t>Genesis has been awarded a concept study which aims to identify clean gas-to-hydrogen generation from natural gas in the North Sea.</w:t>
      </w:r>
    </w:p>
    <w:p>
      <w:pPr>
        <w:spacing w:after="0" w:line="336" w:lineRule="exact"/>
        <w:rPr>
          <w:sz w:val="20"/>
          <w:szCs w:val="20"/>
          <w:color w:val="auto"/>
        </w:rPr>
      </w:pPr>
    </w:p>
    <w:tbl>
      <w:tblPr>
        <w:tblLayout w:type="fixed"/>
        <w:tblInd w:w="50" w:type="dxa"/>
        <w:tblCellMar>
          <w:top w:w="0" w:type="dxa"/>
          <w:left w:w="0" w:type="dxa"/>
          <w:bottom w:w="0" w:type="dxa"/>
          <w:right w:w="0" w:type="dxa"/>
        </w:tblCellMar>
      </w:tblPr>
      <w:tr>
        <w:trPr>
          <w:trHeight w:val="256"/>
        </w:trPr>
        <w:tc>
          <w:tcPr>
            <w:tcW w:w="7260" w:type="dxa"/>
            <w:vAlign w:val="bottom"/>
            <w:tcBorders>
              <w:top w:val="single" w:sz="8" w:color="B6DDE8"/>
              <w:left w:val="single" w:sz="8" w:color="B6DDE8"/>
              <w:right w:val="single" w:sz="8" w:color="B6DDE8"/>
            </w:tcBorders>
          </w:tcPr>
          <w:p>
            <w:pPr>
              <w:ind w:left="40"/>
              <w:spacing w:after="0"/>
              <w:rPr>
                <w:sz w:val="20"/>
                <w:szCs w:val="20"/>
                <w:color w:val="auto"/>
              </w:rPr>
            </w:pPr>
            <w:r>
              <w:rPr>
                <w:rFonts w:ascii="Arial" w:cs="Arial" w:eastAsia="Arial" w:hAnsi="Arial"/>
                <w:sz w:val="20"/>
                <w:szCs w:val="20"/>
                <w:b w:val="1"/>
                <w:bCs w:val="1"/>
                <w:color w:val="auto"/>
              </w:rPr>
              <w:t>Technip Energies</w:t>
            </w:r>
          </w:p>
        </w:tc>
        <w:tc>
          <w:tcPr>
            <w:tcW w:w="1960" w:type="dxa"/>
            <w:vAlign w:val="bottom"/>
            <w:tcBorders>
              <w:top w:val="single" w:sz="8" w:color="B6DDE8"/>
              <w:right w:val="single" w:sz="8" w:color="B6DDE8"/>
            </w:tcBorders>
          </w:tcPr>
          <w:p>
            <w:pPr>
              <w:jc w:val="right"/>
              <w:ind w:right="321"/>
              <w:spacing w:after="0"/>
              <w:rPr>
                <w:sz w:val="20"/>
                <w:szCs w:val="20"/>
                <w:color w:val="auto"/>
              </w:rPr>
            </w:pPr>
            <w:r>
              <w:rPr>
                <w:rFonts w:ascii="Arial" w:cs="Arial" w:eastAsia="Arial" w:hAnsi="Arial"/>
                <w:sz w:val="20"/>
                <w:szCs w:val="20"/>
                <w:color w:val="auto"/>
              </w:rPr>
              <w:t>Consolidated</w:t>
            </w:r>
          </w:p>
        </w:tc>
        <w:tc>
          <w:tcPr>
            <w:tcW w:w="1980" w:type="dxa"/>
            <w:vAlign w:val="bottom"/>
            <w:tcBorders>
              <w:top w:val="single" w:sz="8" w:color="B6DDE8"/>
              <w:right w:val="single" w:sz="8" w:color="B6DDE8"/>
            </w:tcBorders>
          </w:tcPr>
          <w:p>
            <w:pPr>
              <w:jc w:val="right"/>
              <w:ind w:right="141"/>
              <w:spacing w:after="0"/>
              <w:rPr>
                <w:sz w:val="20"/>
                <w:szCs w:val="20"/>
                <w:color w:val="auto"/>
              </w:rPr>
            </w:pPr>
            <w:r>
              <w:rPr>
                <w:rFonts w:ascii="Arial" w:cs="Arial" w:eastAsia="Arial" w:hAnsi="Arial"/>
                <w:sz w:val="20"/>
                <w:szCs w:val="20"/>
                <w:color w:val="auto"/>
              </w:rPr>
              <w:t>Non-consolidated</w:t>
            </w:r>
          </w:p>
        </w:tc>
      </w:tr>
      <w:tr>
        <w:trPr>
          <w:trHeight w:val="189"/>
        </w:trPr>
        <w:tc>
          <w:tcPr>
            <w:tcW w:w="7260" w:type="dxa"/>
            <w:vAlign w:val="bottom"/>
            <w:tcBorders>
              <w:left w:val="single" w:sz="8" w:color="B6DDE8"/>
              <w:right w:val="single" w:sz="8" w:color="B6DDE8"/>
            </w:tcBorders>
          </w:tcPr>
          <w:p>
            <w:pPr>
              <w:ind w:left="40"/>
              <w:spacing w:after="0" w:line="189" w:lineRule="exact"/>
              <w:rPr>
                <w:sz w:val="20"/>
                <w:szCs w:val="20"/>
                <w:color w:val="auto"/>
              </w:rPr>
            </w:pPr>
            <w:r>
              <w:rPr>
                <w:rFonts w:ascii="Arial" w:cs="Arial" w:eastAsia="Arial" w:hAnsi="Arial"/>
                <w:sz w:val="18"/>
                <w:szCs w:val="18"/>
                <w:color w:val="auto"/>
              </w:rPr>
              <w:t>Estimated Backlog Scheduling as of September 30, 2020</w:t>
            </w:r>
          </w:p>
        </w:tc>
        <w:tc>
          <w:tcPr>
            <w:tcW w:w="1960" w:type="dxa"/>
            <w:vAlign w:val="bottom"/>
            <w:tcBorders>
              <w:right w:val="single" w:sz="8" w:color="B6DDE8"/>
            </w:tcBorders>
          </w:tcPr>
          <w:p>
            <w:pPr>
              <w:jc w:val="right"/>
              <w:ind w:right="521"/>
              <w:spacing w:after="0" w:line="189" w:lineRule="exact"/>
              <w:rPr>
                <w:sz w:val="20"/>
                <w:szCs w:val="20"/>
                <w:color w:val="auto"/>
              </w:rPr>
            </w:pPr>
            <w:r>
              <w:rPr>
                <w:rFonts w:ascii="Arial" w:cs="Arial" w:eastAsia="Arial" w:hAnsi="Arial"/>
                <w:sz w:val="20"/>
                <w:szCs w:val="20"/>
                <w:color w:val="auto"/>
              </w:rPr>
              <w:t>backlog</w:t>
            </w:r>
            <w:r>
              <w:rPr>
                <w:rFonts w:ascii="Arial" w:cs="Arial" w:eastAsia="Arial" w:hAnsi="Arial"/>
                <w:sz w:val="12"/>
                <w:szCs w:val="12"/>
                <w:color w:val="auto"/>
              </w:rPr>
              <w:t>1</w:t>
            </w:r>
          </w:p>
        </w:tc>
        <w:tc>
          <w:tcPr>
            <w:tcW w:w="1980" w:type="dxa"/>
            <w:vAlign w:val="bottom"/>
            <w:tcBorders>
              <w:right w:val="single" w:sz="8" w:color="B6DDE8"/>
            </w:tcBorders>
          </w:tcPr>
          <w:p>
            <w:pPr>
              <w:jc w:val="right"/>
              <w:ind w:right="541"/>
              <w:spacing w:after="0" w:line="189" w:lineRule="exact"/>
              <w:rPr>
                <w:sz w:val="20"/>
                <w:szCs w:val="20"/>
                <w:color w:val="auto"/>
              </w:rPr>
            </w:pPr>
            <w:r>
              <w:rPr>
                <w:rFonts w:ascii="Arial" w:cs="Arial" w:eastAsia="Arial" w:hAnsi="Arial"/>
                <w:sz w:val="20"/>
                <w:szCs w:val="20"/>
                <w:color w:val="auto"/>
              </w:rPr>
              <w:t>backlog</w:t>
            </w:r>
            <w:r>
              <w:rPr>
                <w:rFonts w:ascii="Arial" w:cs="Arial" w:eastAsia="Arial" w:hAnsi="Arial"/>
                <w:sz w:val="12"/>
                <w:szCs w:val="12"/>
                <w:color w:val="auto"/>
              </w:rPr>
              <w:t>2</w:t>
            </w:r>
          </w:p>
        </w:tc>
      </w:tr>
      <w:tr>
        <w:trPr>
          <w:trHeight w:val="128"/>
        </w:trPr>
        <w:tc>
          <w:tcPr>
            <w:tcW w:w="7260" w:type="dxa"/>
            <w:vAlign w:val="bottom"/>
            <w:tcBorders>
              <w:left w:val="single" w:sz="8" w:color="B6DDE8"/>
              <w:bottom w:val="single" w:sz="8" w:color="B8CCE4"/>
              <w:right w:val="single" w:sz="8" w:color="B6DDE8"/>
            </w:tcBorders>
          </w:tcPr>
          <w:p>
            <w:pPr>
              <w:ind w:left="40"/>
              <w:spacing w:after="0" w:line="122" w:lineRule="exact"/>
              <w:rPr>
                <w:sz w:val="20"/>
                <w:szCs w:val="20"/>
                <w:color w:val="auto"/>
              </w:rPr>
            </w:pPr>
            <w:r>
              <w:rPr>
                <w:rFonts w:ascii="Arial" w:cs="Arial" w:eastAsia="Arial" w:hAnsi="Arial"/>
                <w:sz w:val="14"/>
                <w:szCs w:val="14"/>
                <w:color w:val="auto"/>
              </w:rPr>
              <w:t>(In millions)</w:t>
            </w:r>
          </w:p>
        </w:tc>
        <w:tc>
          <w:tcPr>
            <w:tcW w:w="1960" w:type="dxa"/>
            <w:vAlign w:val="bottom"/>
            <w:tcBorders>
              <w:bottom w:val="single" w:sz="8" w:color="B8CCE4"/>
              <w:right w:val="single" w:sz="8" w:color="B6DDE8"/>
            </w:tcBorders>
          </w:tcPr>
          <w:p>
            <w:pPr>
              <w:spacing w:after="0"/>
              <w:rPr>
                <w:sz w:val="11"/>
                <w:szCs w:val="11"/>
                <w:color w:val="auto"/>
              </w:rPr>
            </w:pPr>
          </w:p>
        </w:tc>
        <w:tc>
          <w:tcPr>
            <w:tcW w:w="1980" w:type="dxa"/>
            <w:vAlign w:val="bottom"/>
            <w:tcBorders>
              <w:bottom w:val="single" w:sz="8" w:color="B8CCE4"/>
              <w:right w:val="single" w:sz="8" w:color="B6DDE8"/>
            </w:tcBorders>
          </w:tcPr>
          <w:p>
            <w:pPr>
              <w:spacing w:after="0"/>
              <w:rPr>
                <w:sz w:val="11"/>
                <w:szCs w:val="11"/>
                <w:color w:val="auto"/>
              </w:rPr>
            </w:pPr>
          </w:p>
        </w:tc>
      </w:tr>
      <w:tr>
        <w:trPr>
          <w:trHeight w:val="270"/>
        </w:trPr>
        <w:tc>
          <w:tcPr>
            <w:tcW w:w="7260" w:type="dxa"/>
            <w:vAlign w:val="bottom"/>
            <w:tcBorders>
              <w:left w:val="single" w:sz="8" w:color="B6DDE8"/>
              <w:bottom w:val="single" w:sz="8" w:color="BFE4FF"/>
              <w:right w:val="single" w:sz="8" w:color="B6DDE8"/>
            </w:tcBorders>
          </w:tcPr>
          <w:p>
            <w:pPr>
              <w:ind w:left="40"/>
              <w:spacing w:after="0"/>
              <w:rPr>
                <w:sz w:val="20"/>
                <w:szCs w:val="20"/>
                <w:color w:val="auto"/>
              </w:rPr>
            </w:pPr>
            <w:r>
              <w:rPr>
                <w:rFonts w:ascii="Arial" w:cs="Arial" w:eastAsia="Arial" w:hAnsi="Arial"/>
                <w:sz w:val="20"/>
                <w:szCs w:val="20"/>
                <w:b w:val="1"/>
                <w:bCs w:val="1"/>
                <w:color w:val="auto"/>
              </w:rPr>
              <w:t>2020 (3 months)</w:t>
            </w:r>
          </w:p>
        </w:tc>
        <w:tc>
          <w:tcPr>
            <w:tcW w:w="196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color w:val="auto"/>
              </w:rPr>
              <w:t>$1,611</w:t>
            </w:r>
          </w:p>
        </w:tc>
        <w:tc>
          <w:tcPr>
            <w:tcW w:w="198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color w:val="auto"/>
              </w:rPr>
              <w:t>$146</w:t>
            </w:r>
          </w:p>
        </w:tc>
      </w:tr>
      <w:tr>
        <w:trPr>
          <w:trHeight w:val="264"/>
        </w:trPr>
        <w:tc>
          <w:tcPr>
            <w:tcW w:w="7260" w:type="dxa"/>
            <w:vAlign w:val="bottom"/>
            <w:tcBorders>
              <w:left w:val="single" w:sz="8" w:color="B6DDE8"/>
              <w:bottom w:val="single" w:sz="8" w:color="B6DDE8"/>
              <w:right w:val="single" w:sz="8" w:color="B6DDE8"/>
            </w:tcBorders>
          </w:tcPr>
          <w:p>
            <w:pPr>
              <w:ind w:left="40"/>
              <w:spacing w:after="0"/>
              <w:rPr>
                <w:sz w:val="20"/>
                <w:szCs w:val="20"/>
                <w:color w:val="auto"/>
              </w:rPr>
            </w:pPr>
            <w:r>
              <w:rPr>
                <w:rFonts w:ascii="Arial" w:cs="Arial" w:eastAsia="Arial" w:hAnsi="Arial"/>
                <w:sz w:val="20"/>
                <w:szCs w:val="20"/>
                <w:b w:val="1"/>
                <w:bCs w:val="1"/>
                <w:color w:val="auto"/>
              </w:rPr>
              <w:t>2021</w:t>
            </w:r>
          </w:p>
        </w:tc>
        <w:tc>
          <w:tcPr>
            <w:tcW w:w="196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color w:val="auto"/>
              </w:rPr>
              <w:t>$5,790</w:t>
            </w:r>
          </w:p>
        </w:tc>
        <w:tc>
          <w:tcPr>
            <w:tcW w:w="198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color w:val="auto"/>
              </w:rPr>
              <w:t>$828</w:t>
            </w:r>
          </w:p>
        </w:tc>
      </w:tr>
      <w:tr>
        <w:trPr>
          <w:trHeight w:val="263"/>
        </w:trPr>
        <w:tc>
          <w:tcPr>
            <w:tcW w:w="7260" w:type="dxa"/>
            <w:vAlign w:val="bottom"/>
            <w:tcBorders>
              <w:left w:val="single" w:sz="8" w:color="B6DDE8"/>
              <w:bottom w:val="single" w:sz="8" w:color="B6DDE8"/>
              <w:right w:val="single" w:sz="8" w:color="B6DDE8"/>
            </w:tcBorders>
          </w:tcPr>
          <w:p>
            <w:pPr>
              <w:ind w:left="40"/>
              <w:spacing w:after="0"/>
              <w:rPr>
                <w:sz w:val="20"/>
                <w:szCs w:val="20"/>
                <w:color w:val="auto"/>
              </w:rPr>
            </w:pPr>
            <w:r>
              <w:rPr>
                <w:rFonts w:ascii="Arial" w:cs="Arial" w:eastAsia="Arial" w:hAnsi="Arial"/>
                <w:sz w:val="20"/>
                <w:szCs w:val="20"/>
                <w:b w:val="1"/>
                <w:bCs w:val="1"/>
                <w:color w:val="auto"/>
              </w:rPr>
              <w:t>2022 and beyond</w:t>
            </w:r>
          </w:p>
        </w:tc>
        <w:tc>
          <w:tcPr>
            <w:tcW w:w="196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color w:val="auto"/>
              </w:rPr>
              <w:t>$4,658</w:t>
            </w:r>
          </w:p>
        </w:tc>
        <w:tc>
          <w:tcPr>
            <w:tcW w:w="198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color w:val="auto"/>
              </w:rPr>
              <w:t>$1,025</w:t>
            </w:r>
          </w:p>
        </w:tc>
      </w:tr>
      <w:tr>
        <w:trPr>
          <w:trHeight w:val="263"/>
        </w:trPr>
        <w:tc>
          <w:tcPr>
            <w:tcW w:w="7260" w:type="dxa"/>
            <w:vAlign w:val="bottom"/>
            <w:tcBorders>
              <w:left w:val="single" w:sz="8" w:color="B6DDE8"/>
              <w:bottom w:val="single" w:sz="8" w:color="B6DDE8"/>
              <w:right w:val="single" w:sz="8" w:color="B6DDE8"/>
            </w:tcBorders>
          </w:tcPr>
          <w:p>
            <w:pPr>
              <w:ind w:left="40"/>
              <w:spacing w:after="0"/>
              <w:rPr>
                <w:sz w:val="20"/>
                <w:szCs w:val="20"/>
                <w:color w:val="auto"/>
              </w:rPr>
            </w:pPr>
            <w:r>
              <w:rPr>
                <w:rFonts w:ascii="Arial" w:cs="Arial" w:eastAsia="Arial" w:hAnsi="Arial"/>
                <w:sz w:val="20"/>
                <w:szCs w:val="20"/>
                <w:b w:val="1"/>
                <w:bCs w:val="1"/>
                <w:color w:val="auto"/>
              </w:rPr>
              <w:t>Total</w:t>
            </w:r>
          </w:p>
        </w:tc>
        <w:tc>
          <w:tcPr>
            <w:tcW w:w="196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b w:val="1"/>
                <w:bCs w:val="1"/>
                <w:color w:val="auto"/>
              </w:rPr>
              <w:t>$12,059</w:t>
            </w:r>
          </w:p>
        </w:tc>
        <w:tc>
          <w:tcPr>
            <w:tcW w:w="1980" w:type="dxa"/>
            <w:vAlign w:val="bottom"/>
            <w:tcBorders>
              <w:bottom w:val="single" w:sz="8" w:color="B6DDE8"/>
              <w:right w:val="single" w:sz="8" w:color="B6DDE8"/>
            </w:tcBorders>
          </w:tcPr>
          <w:p>
            <w:pPr>
              <w:jc w:val="right"/>
              <w:spacing w:after="0"/>
              <w:rPr>
                <w:sz w:val="20"/>
                <w:szCs w:val="20"/>
                <w:color w:val="auto"/>
              </w:rPr>
            </w:pPr>
            <w:r>
              <w:rPr>
                <w:rFonts w:ascii="Arial" w:cs="Arial" w:eastAsia="Arial" w:hAnsi="Arial"/>
                <w:sz w:val="20"/>
                <w:szCs w:val="20"/>
                <w:b w:val="1"/>
                <w:bCs w:val="1"/>
                <w:color w:val="auto"/>
              </w:rPr>
              <w:t>$1,999</w:t>
            </w:r>
          </w:p>
        </w:tc>
      </w:tr>
    </w:tbl>
    <w:p>
      <w:pPr>
        <w:ind w:left="180" w:hanging="120"/>
        <w:spacing w:after="0" w:line="211" w:lineRule="auto"/>
        <w:tabs>
          <w:tab w:leader="none" w:pos="180" w:val="left"/>
        </w:tabs>
        <w:numPr>
          <w:ilvl w:val="0"/>
          <w:numId w:val="10"/>
        </w:numPr>
        <w:rPr>
          <w:rFonts w:ascii="Arial" w:cs="Arial" w:eastAsia="Arial" w:hAnsi="Arial"/>
          <w:sz w:val="23"/>
          <w:szCs w:val="23"/>
          <w:i w:val="1"/>
          <w:iCs w:val="1"/>
          <w:color w:val="auto"/>
          <w:vertAlign w:val="superscript"/>
        </w:rPr>
      </w:pPr>
      <w:r>
        <w:rPr>
          <w:rFonts w:ascii="Arial" w:cs="Arial" w:eastAsia="Arial" w:hAnsi="Arial"/>
          <w:sz w:val="18"/>
          <w:szCs w:val="18"/>
          <w:i w:val="1"/>
          <w:iCs w:val="1"/>
          <w:color w:val="auto"/>
        </w:rPr>
        <w:t>Backlog in the period was increased by a foreign exchange impact of $122 million.</w:t>
      </w:r>
    </w:p>
    <w:p>
      <w:pPr>
        <w:spacing w:after="0" w:line="10" w:lineRule="exact"/>
        <w:rPr>
          <w:sz w:val="20"/>
          <w:szCs w:val="20"/>
          <w:color w:val="auto"/>
        </w:rPr>
      </w:pPr>
    </w:p>
    <w:p>
      <w:pPr>
        <w:ind w:left="60" w:right="340"/>
        <w:spacing w:after="0" w:line="201" w:lineRule="auto"/>
        <w:tabs>
          <w:tab w:leader="none" w:pos="175" w:val="left"/>
        </w:tabs>
        <w:numPr>
          <w:ilvl w:val="0"/>
          <w:numId w:val="11"/>
        </w:numPr>
        <w:rPr>
          <w:rFonts w:ascii="Arial" w:cs="Arial" w:eastAsia="Arial" w:hAnsi="Arial"/>
          <w:sz w:val="23"/>
          <w:szCs w:val="23"/>
          <w:i w:val="1"/>
          <w:iCs w:val="1"/>
          <w:color w:val="auto"/>
          <w:vertAlign w:val="superscript"/>
        </w:rPr>
      </w:pPr>
      <w:r>
        <w:rPr>
          <w:rFonts w:ascii="Arial" w:cs="Arial" w:eastAsia="Arial" w:hAnsi="Arial"/>
          <w:sz w:val="18"/>
          <w:szCs w:val="18"/>
          <w:i w:val="1"/>
          <w:iCs w:val="1"/>
          <w:color w:val="auto"/>
        </w:rPr>
        <w:t>Non-consolidated backlog reflects the proportional share of backlog related to joint ventures that is not consolidated due to our minority ownership position.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5040"/>
        <w:spacing w:after="0"/>
        <w:tabs>
          <w:tab w:leader="none" w:pos="1034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6 of 26</w:t>
      </w:r>
    </w:p>
    <w:p>
      <w:pPr>
        <w:sectPr>
          <w:pgSz w:w="11900" w:h="16838" w:orient="portrait"/>
          <w:cols w:equalWidth="0" w:num="1">
            <w:col w:w="11240"/>
          </w:cols>
          <w:pgMar w:left="320" w:top="1406" w:right="339" w:bottom="1440" w:gutter="0" w:footer="0" w:header="0"/>
        </w:sectPr>
      </w:pPr>
    </w:p>
    <w:bookmarkStart w:id="10" w:name="page11"/>
    <w:bookmarkEnd w:id="10"/>
    <w:p>
      <w:pPr>
        <w:spacing w:after="0" w:line="1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r>
    </w:p>
    <w:p>
      <w:pPr>
        <w:ind w:left="20"/>
        <w:spacing w:after="0"/>
        <w:rPr>
          <w:sz w:val="20"/>
          <w:szCs w:val="20"/>
          <w:color w:val="auto"/>
        </w:rPr>
      </w:pPr>
      <w:r>
        <w:rPr>
          <w:rFonts w:ascii="Arial" w:cs="Arial" w:eastAsia="Arial" w:hAnsi="Arial"/>
          <w:sz w:val="20"/>
          <w:szCs w:val="20"/>
          <w:b w:val="1"/>
          <w:bCs w:val="1"/>
          <w:color w:val="auto"/>
        </w:rPr>
        <w:t>Surface Technologies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Financial Highlights</w:t>
      </w:r>
    </w:p>
    <w:p>
      <w:pPr>
        <w:spacing w:after="0" w:line="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Reconciliation of U.S. GAAP to non-GAAP financial measures are below and in financial schedules.</w:t>
      </w:r>
    </w:p>
    <w:p>
      <w:pPr>
        <w:spacing w:after="0" w:line="125" w:lineRule="exact"/>
        <w:rPr>
          <w:sz w:val="20"/>
          <w:szCs w:val="20"/>
          <w:color w:val="auto"/>
        </w:rPr>
      </w:pPr>
    </w:p>
    <w:tbl>
      <w:tblPr>
        <w:tblLayout w:type="fixed"/>
        <w:tblInd w:w="50" w:type="dxa"/>
        <w:tblCellMar>
          <w:top w:w="0" w:type="dxa"/>
          <w:left w:w="0" w:type="dxa"/>
          <w:bottom w:w="0" w:type="dxa"/>
          <w:right w:w="0" w:type="dxa"/>
        </w:tblCellMar>
      </w:tblPr>
      <w:tr>
        <w:trPr>
          <w:trHeight w:val="216"/>
        </w:trPr>
        <w:tc>
          <w:tcPr>
            <w:tcW w:w="6200" w:type="dxa"/>
            <w:vAlign w:val="bottom"/>
            <w:tcBorders>
              <w:top w:val="single" w:sz="8" w:color="B8CCE4"/>
              <w:left w:val="single" w:sz="8" w:color="B8CCE4"/>
              <w:right w:val="single" w:sz="8" w:color="B8CCE4"/>
            </w:tcBorders>
          </w:tcPr>
          <w:p>
            <w:pPr>
              <w:ind w:left="40"/>
              <w:spacing w:after="0"/>
              <w:rPr>
                <w:sz w:val="20"/>
                <w:szCs w:val="20"/>
                <w:color w:val="auto"/>
              </w:rPr>
            </w:pPr>
            <w:r>
              <w:rPr>
                <w:rFonts w:ascii="Arial" w:cs="Arial" w:eastAsia="Arial" w:hAnsi="Arial"/>
                <w:sz w:val="14"/>
                <w:szCs w:val="14"/>
                <w:b w:val="1"/>
                <w:bCs w:val="1"/>
                <w:color w:val="auto"/>
              </w:rPr>
              <w:t>Three Months Ended</w:t>
            </w:r>
          </w:p>
        </w:tc>
        <w:tc>
          <w:tcPr>
            <w:tcW w:w="1800" w:type="dxa"/>
            <w:vAlign w:val="bottom"/>
            <w:tcBorders>
              <w:top w:val="single" w:sz="8" w:color="B8CCE4"/>
              <w:right w:val="single" w:sz="8" w:color="B8CCE4"/>
            </w:tcBorders>
          </w:tcPr>
          <w:p>
            <w:pPr>
              <w:jc w:val="right"/>
              <w:ind w:right="328"/>
              <w:spacing w:after="0"/>
              <w:rPr>
                <w:sz w:val="20"/>
                <w:szCs w:val="20"/>
                <w:color w:val="auto"/>
              </w:rPr>
            </w:pPr>
            <w:r>
              <w:rPr>
                <w:rFonts w:ascii="Arial" w:cs="Arial" w:eastAsia="Arial" w:hAnsi="Arial"/>
                <w:sz w:val="14"/>
                <w:szCs w:val="14"/>
                <w:b w:val="1"/>
                <w:bCs w:val="1"/>
                <w:color w:val="auto"/>
              </w:rPr>
              <w:t>September 30,</w:t>
            </w:r>
          </w:p>
        </w:tc>
        <w:tc>
          <w:tcPr>
            <w:tcW w:w="1720" w:type="dxa"/>
            <w:vAlign w:val="bottom"/>
            <w:tcBorders>
              <w:top w:val="single" w:sz="8" w:color="B8CCE4"/>
              <w:right w:val="single" w:sz="8" w:color="B8CCE4"/>
            </w:tcBorders>
            <w:vMerge w:val="restart"/>
          </w:tcPr>
          <w:p>
            <w:pPr>
              <w:jc w:val="right"/>
              <w:ind w:right="105"/>
              <w:spacing w:after="0"/>
              <w:rPr>
                <w:sz w:val="20"/>
                <w:szCs w:val="20"/>
                <w:color w:val="auto"/>
              </w:rPr>
            </w:pPr>
            <w:r>
              <w:rPr>
                <w:rFonts w:ascii="Arial" w:cs="Arial" w:eastAsia="Arial" w:hAnsi="Arial"/>
                <w:sz w:val="14"/>
                <w:szCs w:val="14"/>
                <w:b w:val="1"/>
                <w:bCs w:val="1"/>
                <w:color w:val="auto"/>
              </w:rPr>
              <w:t>September 30, 2019</w:t>
            </w:r>
          </w:p>
        </w:tc>
        <w:tc>
          <w:tcPr>
            <w:tcW w:w="1460" w:type="dxa"/>
            <w:vAlign w:val="bottom"/>
            <w:tcBorders>
              <w:top w:val="single" w:sz="8" w:color="B8CCE4"/>
              <w:right w:val="single" w:sz="8" w:color="B8CCE4"/>
            </w:tcBorders>
            <w:vMerge w:val="restart"/>
          </w:tcPr>
          <w:p>
            <w:pPr>
              <w:jc w:val="center"/>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76"/>
        </w:trPr>
        <w:tc>
          <w:tcPr>
            <w:tcW w:w="62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1800" w:type="dxa"/>
            <w:vAlign w:val="bottom"/>
            <w:tcBorders>
              <w:bottom w:val="single" w:sz="8" w:color="B8CCE4"/>
              <w:right w:val="single" w:sz="8" w:color="B8CCE4"/>
            </w:tcBorders>
          </w:tcPr>
          <w:p>
            <w:pPr>
              <w:jc w:val="right"/>
              <w:ind w:right="668"/>
              <w:spacing w:after="0"/>
              <w:rPr>
                <w:sz w:val="20"/>
                <w:szCs w:val="20"/>
                <w:color w:val="auto"/>
              </w:rPr>
            </w:pPr>
            <w:r>
              <w:rPr>
                <w:rFonts w:ascii="Arial" w:cs="Arial" w:eastAsia="Arial" w:hAnsi="Arial"/>
                <w:sz w:val="14"/>
                <w:szCs w:val="14"/>
                <w:b w:val="1"/>
                <w:bCs w:val="1"/>
                <w:color w:val="auto"/>
              </w:rPr>
              <w:t>2020</w:t>
            </w:r>
          </w:p>
        </w:tc>
        <w:tc>
          <w:tcPr>
            <w:tcW w:w="1720" w:type="dxa"/>
            <w:vAlign w:val="bottom"/>
            <w:tcBorders>
              <w:bottom w:val="single" w:sz="8" w:color="B8CCE4"/>
              <w:right w:val="single" w:sz="8" w:color="B8CCE4"/>
            </w:tcBorders>
            <w:vMerge w:val="continue"/>
          </w:tcPr>
          <w:p>
            <w:pPr>
              <w:spacing w:after="0"/>
              <w:rPr>
                <w:sz w:val="15"/>
                <w:szCs w:val="15"/>
                <w:color w:val="auto"/>
              </w:rPr>
            </w:pPr>
          </w:p>
        </w:tc>
        <w:tc>
          <w:tcPr>
            <w:tcW w:w="1460" w:type="dxa"/>
            <w:vAlign w:val="bottom"/>
            <w:tcBorders>
              <w:bottom w:val="single" w:sz="8" w:color="B8CCE4"/>
              <w:right w:val="single" w:sz="8" w:color="B8CCE4"/>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62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Revenue</w:t>
            </w:r>
          </w:p>
        </w:tc>
        <w:tc>
          <w:tcPr>
            <w:tcW w:w="18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$225.7</w:t>
            </w:r>
          </w:p>
        </w:tc>
        <w:tc>
          <w:tcPr>
            <w:tcW w:w="17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$396.6</w:t>
            </w:r>
          </w:p>
        </w:tc>
        <w:tc>
          <w:tcPr>
            <w:tcW w:w="14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7"/>
              </w:rPr>
              <w:t>(43.1%)</w:t>
            </w:r>
          </w:p>
        </w:tc>
        <w:tc>
          <w:tcPr>
            <w:tcW w:w="0" w:type="dxa"/>
            <w:vAlign w:val="bottom"/>
          </w:tcPr>
          <w:p>
            <w:pPr>
              <w:spacing w:after="0"/>
              <w:rPr>
                <w:sz w:val="1"/>
                <w:szCs w:val="1"/>
                <w:color w:val="auto"/>
              </w:rPr>
            </w:pPr>
          </w:p>
        </w:tc>
      </w:tr>
      <w:tr>
        <w:trPr>
          <w:trHeight w:val="263"/>
        </w:trPr>
        <w:tc>
          <w:tcPr>
            <w:tcW w:w="62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Operating profit (loss)</w:t>
            </w:r>
          </w:p>
        </w:tc>
        <w:tc>
          <w:tcPr>
            <w:tcW w:w="18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$(7.0)</w:t>
            </w:r>
          </w:p>
        </w:tc>
        <w:tc>
          <w:tcPr>
            <w:tcW w:w="17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$6.1</w:t>
            </w:r>
          </w:p>
        </w:tc>
        <w:tc>
          <w:tcPr>
            <w:tcW w:w="14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5"/>
              </w:rPr>
              <w:t>n/m</w:t>
            </w:r>
          </w:p>
        </w:tc>
        <w:tc>
          <w:tcPr>
            <w:tcW w:w="0" w:type="dxa"/>
            <w:vAlign w:val="bottom"/>
          </w:tcPr>
          <w:p>
            <w:pPr>
              <w:spacing w:after="0"/>
              <w:rPr>
                <w:sz w:val="1"/>
                <w:szCs w:val="1"/>
                <w:color w:val="auto"/>
              </w:rPr>
            </w:pPr>
          </w:p>
        </w:tc>
      </w:tr>
      <w:tr>
        <w:trPr>
          <w:trHeight w:val="263"/>
        </w:trPr>
        <w:tc>
          <w:tcPr>
            <w:tcW w:w="62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Adjusted EBITDA</w:t>
            </w:r>
          </w:p>
        </w:tc>
        <w:tc>
          <w:tcPr>
            <w:tcW w:w="18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$17.3</w:t>
            </w:r>
          </w:p>
        </w:tc>
        <w:tc>
          <w:tcPr>
            <w:tcW w:w="17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$44.4</w:t>
            </w:r>
          </w:p>
        </w:tc>
        <w:tc>
          <w:tcPr>
            <w:tcW w:w="14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7"/>
              </w:rPr>
              <w:t>(61.0%)</w:t>
            </w:r>
          </w:p>
        </w:tc>
        <w:tc>
          <w:tcPr>
            <w:tcW w:w="0" w:type="dxa"/>
            <w:vAlign w:val="bottom"/>
          </w:tcPr>
          <w:p>
            <w:pPr>
              <w:spacing w:after="0"/>
              <w:rPr>
                <w:sz w:val="1"/>
                <w:szCs w:val="1"/>
                <w:color w:val="auto"/>
              </w:rPr>
            </w:pPr>
          </w:p>
        </w:tc>
      </w:tr>
      <w:tr>
        <w:trPr>
          <w:trHeight w:val="264"/>
        </w:trPr>
        <w:tc>
          <w:tcPr>
            <w:tcW w:w="62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Adjusted EBITDA margin</w:t>
            </w:r>
          </w:p>
        </w:tc>
        <w:tc>
          <w:tcPr>
            <w:tcW w:w="18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7.7 %</w:t>
            </w:r>
          </w:p>
        </w:tc>
        <w:tc>
          <w:tcPr>
            <w:tcW w:w="17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11.2 %</w:t>
            </w:r>
          </w:p>
        </w:tc>
        <w:tc>
          <w:tcPr>
            <w:tcW w:w="14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9"/>
              </w:rPr>
              <w:t>(350 bps)</w:t>
            </w:r>
          </w:p>
        </w:tc>
        <w:tc>
          <w:tcPr>
            <w:tcW w:w="0" w:type="dxa"/>
            <w:vAlign w:val="bottom"/>
          </w:tcPr>
          <w:p>
            <w:pPr>
              <w:spacing w:after="0"/>
              <w:rPr>
                <w:sz w:val="1"/>
                <w:szCs w:val="1"/>
                <w:color w:val="auto"/>
              </w:rPr>
            </w:pPr>
          </w:p>
        </w:tc>
      </w:tr>
      <w:tr>
        <w:trPr>
          <w:trHeight w:val="250"/>
        </w:trPr>
        <w:tc>
          <w:tcPr>
            <w:tcW w:w="6200" w:type="dxa"/>
            <w:vAlign w:val="bottom"/>
            <w:tcBorders>
              <w:left w:val="single" w:sz="8" w:color="B8CCE4"/>
              <w:bottom w:val="single" w:sz="8" w:color="B8CCE4"/>
            </w:tcBorders>
          </w:tcPr>
          <w:p>
            <w:pPr>
              <w:spacing w:after="0"/>
              <w:rPr>
                <w:sz w:val="21"/>
                <w:szCs w:val="21"/>
                <w:color w:val="auto"/>
              </w:rPr>
            </w:pPr>
          </w:p>
        </w:tc>
        <w:tc>
          <w:tcPr>
            <w:tcW w:w="1800" w:type="dxa"/>
            <w:vAlign w:val="bottom"/>
            <w:tcBorders>
              <w:bottom w:val="single" w:sz="8" w:color="B8CCE4"/>
            </w:tcBorders>
          </w:tcPr>
          <w:p>
            <w:pPr>
              <w:spacing w:after="0"/>
              <w:rPr>
                <w:sz w:val="21"/>
                <w:szCs w:val="21"/>
                <w:color w:val="auto"/>
              </w:rPr>
            </w:pPr>
          </w:p>
        </w:tc>
        <w:tc>
          <w:tcPr>
            <w:tcW w:w="1720" w:type="dxa"/>
            <w:vAlign w:val="bottom"/>
            <w:tcBorders>
              <w:bottom w:val="single" w:sz="8" w:color="B8CCE4"/>
            </w:tcBorders>
          </w:tcPr>
          <w:p>
            <w:pPr>
              <w:spacing w:after="0"/>
              <w:rPr>
                <w:sz w:val="21"/>
                <w:szCs w:val="21"/>
                <w:color w:val="auto"/>
              </w:rPr>
            </w:pPr>
          </w:p>
        </w:tc>
        <w:tc>
          <w:tcPr>
            <w:tcW w:w="1460" w:type="dxa"/>
            <w:vAlign w:val="bottom"/>
            <w:tcBorders>
              <w:bottom w:val="single" w:sz="8" w:color="B8CCE4"/>
              <w:right w:val="single" w:sz="8" w:color="B8CCE4"/>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62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Inbound orders</w:t>
            </w:r>
          </w:p>
        </w:tc>
        <w:tc>
          <w:tcPr>
            <w:tcW w:w="18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$207.5</w:t>
            </w:r>
          </w:p>
        </w:tc>
        <w:tc>
          <w:tcPr>
            <w:tcW w:w="17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$404.7</w:t>
            </w:r>
          </w:p>
        </w:tc>
        <w:tc>
          <w:tcPr>
            <w:tcW w:w="14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7"/>
              </w:rPr>
              <w:t>(48.7%)</w:t>
            </w:r>
          </w:p>
        </w:tc>
        <w:tc>
          <w:tcPr>
            <w:tcW w:w="0" w:type="dxa"/>
            <w:vAlign w:val="bottom"/>
          </w:tcPr>
          <w:p>
            <w:pPr>
              <w:spacing w:after="0"/>
              <w:rPr>
                <w:sz w:val="1"/>
                <w:szCs w:val="1"/>
                <w:color w:val="auto"/>
              </w:rPr>
            </w:pPr>
          </w:p>
        </w:tc>
      </w:tr>
      <w:tr>
        <w:trPr>
          <w:trHeight w:val="263"/>
        </w:trPr>
        <w:tc>
          <w:tcPr>
            <w:tcW w:w="6200" w:type="dxa"/>
            <w:vAlign w:val="bottom"/>
            <w:tcBorders>
              <w:left w:val="single" w:sz="8" w:color="B8CCE4"/>
              <w:bottom w:val="single" w:sz="8" w:color="B8CCE4"/>
              <w:right w:val="single" w:sz="8" w:color="B8CCE4"/>
            </w:tcBorders>
          </w:tcPr>
          <w:p>
            <w:pPr>
              <w:ind w:left="40"/>
              <w:spacing w:after="0"/>
              <w:rPr>
                <w:sz w:val="20"/>
                <w:szCs w:val="20"/>
                <w:color w:val="auto"/>
              </w:rPr>
            </w:pPr>
            <w:r>
              <w:rPr>
                <w:rFonts w:ascii="Arial" w:cs="Arial" w:eastAsia="Arial" w:hAnsi="Arial"/>
                <w:sz w:val="20"/>
                <w:szCs w:val="20"/>
                <w:b w:val="1"/>
                <w:bCs w:val="1"/>
                <w:color w:val="auto"/>
              </w:rPr>
              <w:t>Backlog</w:t>
            </w:r>
          </w:p>
        </w:tc>
        <w:tc>
          <w:tcPr>
            <w:tcW w:w="180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$368.9</w:t>
            </w:r>
          </w:p>
        </w:tc>
        <w:tc>
          <w:tcPr>
            <w:tcW w:w="1720" w:type="dxa"/>
            <w:vAlign w:val="bottom"/>
            <w:tcBorders>
              <w:bottom w:val="single" w:sz="8" w:color="B8CCE4"/>
              <w:right w:val="single" w:sz="8" w:color="B8CCE4"/>
            </w:tcBorders>
          </w:tcPr>
          <w:p>
            <w:pPr>
              <w:jc w:val="right"/>
              <w:spacing w:after="0"/>
              <w:rPr>
                <w:sz w:val="20"/>
                <w:szCs w:val="20"/>
                <w:color w:val="auto"/>
              </w:rPr>
            </w:pPr>
            <w:r>
              <w:rPr>
                <w:rFonts w:ascii="Arial" w:cs="Arial" w:eastAsia="Arial" w:hAnsi="Arial"/>
                <w:sz w:val="20"/>
                <w:szCs w:val="20"/>
                <w:color w:val="auto"/>
              </w:rPr>
              <w:t>$428.7</w:t>
            </w:r>
          </w:p>
        </w:tc>
        <w:tc>
          <w:tcPr>
            <w:tcW w:w="1460" w:type="dxa"/>
            <w:vAlign w:val="bottom"/>
            <w:tcBorders>
              <w:bottom w:val="single" w:sz="8" w:color="B8CCE4"/>
              <w:right w:val="single" w:sz="8" w:color="B8CCE4"/>
            </w:tcBorders>
          </w:tcPr>
          <w:p>
            <w:pPr>
              <w:jc w:val="center"/>
              <w:spacing w:after="0"/>
              <w:rPr>
                <w:sz w:val="20"/>
                <w:szCs w:val="20"/>
                <w:color w:val="auto"/>
              </w:rPr>
            </w:pPr>
            <w:r>
              <w:rPr>
                <w:rFonts w:ascii="Arial" w:cs="Arial" w:eastAsia="Arial" w:hAnsi="Arial"/>
                <w:sz w:val="20"/>
                <w:szCs w:val="20"/>
                <w:color w:val="auto"/>
                <w:w w:val="97"/>
              </w:rPr>
              <w:t>(13.9%)</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97" w:lineRule="exact"/>
        <w:rPr>
          <w:sz w:val="20"/>
          <w:szCs w:val="20"/>
          <w:color w:val="auto"/>
        </w:rPr>
      </w:pPr>
    </w:p>
    <w:p>
      <w:pPr>
        <w:jc w:val="both"/>
        <w:spacing w:after="0" w:line="253" w:lineRule="auto"/>
        <w:rPr>
          <w:sz w:val="20"/>
          <w:szCs w:val="20"/>
          <w:color w:val="auto"/>
        </w:rPr>
      </w:pPr>
      <w:r>
        <w:rPr>
          <w:rFonts w:ascii="Arial" w:cs="Arial" w:eastAsia="Arial" w:hAnsi="Arial"/>
          <w:sz w:val="20"/>
          <w:szCs w:val="20"/>
          <w:color w:val="auto"/>
        </w:rPr>
        <w:t>Surface Technologies reported third quarter revenue of $225.7 million, a decrease of 43.1 percent from the prior-year quarter. The decline was primarily driven by the sharp reduction in operator activity in North America. Revenue outside of North America displayed resilience, with a more modest decline due to reduced activity levels. Nearly 70 percent of total segment revenue was generated outside of North America in the period.</w:t>
      </w:r>
    </w:p>
    <w:p>
      <w:pPr>
        <w:spacing w:after="0" w:line="137" w:lineRule="exact"/>
        <w:rPr>
          <w:sz w:val="20"/>
          <w:szCs w:val="20"/>
          <w:color w:val="auto"/>
        </w:rPr>
      </w:pPr>
    </w:p>
    <w:p>
      <w:pPr>
        <w:jc w:val="both"/>
        <w:spacing w:after="0" w:line="249" w:lineRule="auto"/>
        <w:rPr>
          <w:sz w:val="20"/>
          <w:szCs w:val="20"/>
          <w:color w:val="auto"/>
        </w:rPr>
      </w:pPr>
      <w:r>
        <w:rPr>
          <w:rFonts w:ascii="Arial" w:cs="Arial" w:eastAsia="Arial" w:hAnsi="Arial"/>
          <w:sz w:val="20"/>
          <w:szCs w:val="20"/>
          <w:color w:val="auto"/>
        </w:rPr>
        <w:t>Surface Technologies reported an operating loss of $7 million; adjusted EBITDA was $17.3 million with a margin of 7.7 percent. Operating profit decreased primarily due to lower activity in North America driven by the significant decline in rig count and completions-related activity, partially offset by the accelerated cost reduction actions initiated in the first quarter. Sequentially, operating profit improved through a combination of favorable product mix, the benefit of our cost reduction program, and improved manufacturing execution.</w:t>
      </w:r>
    </w:p>
    <w:p>
      <w:pPr>
        <w:spacing w:after="0" w:line="130" w:lineRule="exact"/>
        <w:rPr>
          <w:sz w:val="20"/>
          <w:szCs w:val="20"/>
          <w:color w:val="auto"/>
        </w:rPr>
      </w:pPr>
    </w:p>
    <w:p>
      <w:pPr>
        <w:jc w:val="both"/>
        <w:spacing w:after="0" w:line="259" w:lineRule="auto"/>
        <w:rPr>
          <w:sz w:val="20"/>
          <w:szCs w:val="20"/>
          <w:color w:val="auto"/>
        </w:rPr>
      </w:pPr>
      <w:r>
        <w:rPr>
          <w:rFonts w:ascii="Arial" w:cs="Arial" w:eastAsia="Arial" w:hAnsi="Arial"/>
          <w:sz w:val="20"/>
          <w:szCs w:val="20"/>
          <w:color w:val="auto"/>
        </w:rPr>
        <w:t>Inbound orders for the quarter were $207.5 million, a decrease versus the prior-year quarter primarily due to the significant reduction in North America activity. Backlog decreased 13.9 percent versus the prior-year quarter to $368.9 million. Given the short-cycle nature of the business, orders are generally converted into revenue within twelve months.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5040"/>
        <w:spacing w:after="0"/>
        <w:tabs>
          <w:tab w:leader="none" w:pos="1034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7 of 26</w:t>
      </w:r>
    </w:p>
    <w:p>
      <w:pPr>
        <w:sectPr>
          <w:pgSz w:w="11900" w:h="16838" w:orient="portrait"/>
          <w:cols w:equalWidth="0" w:num="1">
            <w:col w:w="11240"/>
          </w:cols>
          <w:pgMar w:left="320" w:top="1440" w:right="339" w:bottom="1440" w:gutter="0" w:footer="0" w:header="0"/>
        </w:sectPr>
      </w:pPr>
    </w:p>
    <w:bookmarkStart w:id="11" w:name="page12"/>
    <w:bookmarkEnd w:id="11"/>
    <w:p>
      <w:pPr>
        <w:spacing w:after="0" w:line="20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color w:val="auto"/>
        </w:rPr>
        <w:t>Third Quarter Surface Technologies Highlights</w:t>
      </w:r>
    </w:p>
    <w:p>
      <w:pPr>
        <w:spacing w:after="0" w:line="106" w:lineRule="exact"/>
        <w:rPr>
          <w:sz w:val="20"/>
          <w:szCs w:val="20"/>
          <w:color w:val="auto"/>
        </w:rPr>
      </w:pPr>
    </w:p>
    <w:p>
      <w:pPr>
        <w:ind w:left="640" w:hanging="308"/>
        <w:spacing w:after="0"/>
        <w:tabs>
          <w:tab w:leader="none" w:pos="640" w:val="left"/>
        </w:tabs>
        <w:numPr>
          <w:ilvl w:val="0"/>
          <w:numId w:val="12"/>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5-year frame agreement </w:t>
      </w:r>
      <w:r>
        <w:rPr>
          <w:rFonts w:ascii="Arial" w:cs="Arial" w:eastAsia="Arial" w:hAnsi="Arial"/>
          <w:sz w:val="17"/>
          <w:szCs w:val="17"/>
          <w:b w:val="1"/>
          <w:bCs w:val="1"/>
          <w:color w:val="auto"/>
        </w:rPr>
        <w:t>(Oman)</w:t>
      </w:r>
    </w:p>
    <w:p>
      <w:pPr>
        <w:spacing w:after="0" w:line="27" w:lineRule="exact"/>
        <w:rPr>
          <w:rFonts w:ascii="Arial" w:cs="Arial" w:eastAsia="Arial" w:hAnsi="Arial"/>
          <w:sz w:val="20"/>
          <w:szCs w:val="20"/>
          <w:b w:val="1"/>
          <w:bCs w:val="1"/>
          <w:color w:val="auto"/>
        </w:rPr>
      </w:pPr>
    </w:p>
    <w:p>
      <w:pPr>
        <w:ind w:left="660"/>
        <w:spacing w:after="0"/>
        <w:rPr>
          <w:rFonts w:ascii="Arial" w:cs="Arial" w:eastAsia="Arial" w:hAnsi="Arial"/>
          <w:sz w:val="20"/>
          <w:szCs w:val="20"/>
          <w:b w:val="1"/>
          <w:bCs w:val="1"/>
          <w:color w:val="auto"/>
        </w:rPr>
      </w:pPr>
      <w:r>
        <w:rPr>
          <w:rFonts w:ascii="Arial" w:cs="Arial" w:eastAsia="Arial" w:hAnsi="Arial"/>
          <w:sz w:val="20"/>
          <w:szCs w:val="20"/>
          <w:color w:val="auto"/>
        </w:rPr>
        <w:t>Received orders for wellheads, trees and services as part of a new 5-year frame agreement with Petrogas Rima.</w:t>
      </w:r>
    </w:p>
    <w:p>
      <w:pPr>
        <w:spacing w:after="0" w:line="79" w:lineRule="exact"/>
        <w:rPr>
          <w:rFonts w:ascii="Arial" w:cs="Arial" w:eastAsia="Arial" w:hAnsi="Arial"/>
          <w:sz w:val="20"/>
          <w:szCs w:val="20"/>
          <w:b w:val="1"/>
          <w:bCs w:val="1"/>
          <w:color w:val="auto"/>
        </w:rPr>
      </w:pPr>
    </w:p>
    <w:p>
      <w:pPr>
        <w:ind w:left="640" w:hanging="308"/>
        <w:spacing w:after="0"/>
        <w:tabs>
          <w:tab w:leader="none" w:pos="640" w:val="left"/>
        </w:tabs>
        <w:numPr>
          <w:ilvl w:val="0"/>
          <w:numId w:val="12"/>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High-specification equipment and services </w:t>
      </w:r>
      <w:r>
        <w:rPr>
          <w:rFonts w:ascii="Arial" w:cs="Arial" w:eastAsia="Arial" w:hAnsi="Arial"/>
          <w:sz w:val="17"/>
          <w:szCs w:val="17"/>
          <w:b w:val="1"/>
          <w:bCs w:val="1"/>
          <w:color w:val="auto"/>
        </w:rPr>
        <w:t>(Kuwait)</w:t>
      </w:r>
    </w:p>
    <w:p>
      <w:pPr>
        <w:spacing w:after="0" w:line="27" w:lineRule="exact"/>
        <w:rPr>
          <w:rFonts w:ascii="Arial" w:cs="Arial" w:eastAsia="Arial" w:hAnsi="Arial"/>
          <w:sz w:val="20"/>
          <w:szCs w:val="20"/>
          <w:b w:val="1"/>
          <w:bCs w:val="1"/>
          <w:color w:val="auto"/>
        </w:rPr>
      </w:pPr>
    </w:p>
    <w:p>
      <w:pPr>
        <w:ind w:left="660"/>
        <w:spacing w:after="0"/>
        <w:rPr>
          <w:rFonts w:ascii="Arial" w:cs="Arial" w:eastAsia="Arial" w:hAnsi="Arial"/>
          <w:sz w:val="20"/>
          <w:szCs w:val="20"/>
          <w:b w:val="1"/>
          <w:bCs w:val="1"/>
          <w:color w:val="auto"/>
        </w:rPr>
      </w:pPr>
      <w:r>
        <w:rPr>
          <w:rFonts w:ascii="Arial" w:cs="Arial" w:eastAsia="Arial" w:hAnsi="Arial"/>
          <w:sz w:val="20"/>
          <w:szCs w:val="20"/>
          <w:color w:val="auto"/>
        </w:rPr>
        <w:t>Nominated to supply high-specification gas equipment and in-country services for client’s 20 well program.</w:t>
      </w:r>
    </w:p>
    <w:p>
      <w:pPr>
        <w:spacing w:after="0" w:line="66" w:lineRule="exact"/>
        <w:rPr>
          <w:rFonts w:ascii="Arial" w:cs="Arial" w:eastAsia="Arial" w:hAnsi="Arial"/>
          <w:sz w:val="20"/>
          <w:szCs w:val="20"/>
          <w:b w:val="1"/>
          <w:bCs w:val="1"/>
          <w:color w:val="auto"/>
        </w:rPr>
      </w:pPr>
    </w:p>
    <w:p>
      <w:pPr>
        <w:ind w:left="640" w:hanging="308"/>
        <w:spacing w:after="0"/>
        <w:tabs>
          <w:tab w:leader="none" w:pos="640" w:val="left"/>
        </w:tabs>
        <w:numPr>
          <w:ilvl w:val="0"/>
          <w:numId w:val="12"/>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Expansion of offerings </w:t>
      </w:r>
      <w:r>
        <w:rPr>
          <w:rFonts w:ascii="Arial" w:cs="Arial" w:eastAsia="Arial" w:hAnsi="Arial"/>
          <w:sz w:val="17"/>
          <w:szCs w:val="17"/>
          <w:b w:val="1"/>
          <w:bCs w:val="1"/>
          <w:color w:val="auto"/>
        </w:rPr>
        <w:t>(United Arab Emirates)</w:t>
      </w:r>
    </w:p>
    <w:p>
      <w:pPr>
        <w:spacing w:after="0" w:line="27" w:lineRule="exact"/>
        <w:rPr>
          <w:rFonts w:ascii="Arial" w:cs="Arial" w:eastAsia="Arial" w:hAnsi="Arial"/>
          <w:sz w:val="20"/>
          <w:szCs w:val="20"/>
          <w:b w:val="1"/>
          <w:bCs w:val="1"/>
          <w:color w:val="auto"/>
        </w:rPr>
      </w:pPr>
    </w:p>
    <w:p>
      <w:pPr>
        <w:ind w:left="660" w:right="600"/>
        <w:spacing w:after="0" w:line="239" w:lineRule="auto"/>
        <w:rPr>
          <w:rFonts w:ascii="Arial" w:cs="Arial" w:eastAsia="Arial" w:hAnsi="Arial"/>
          <w:sz w:val="20"/>
          <w:szCs w:val="20"/>
          <w:b w:val="1"/>
          <w:bCs w:val="1"/>
          <w:color w:val="auto"/>
        </w:rPr>
      </w:pPr>
      <w:r>
        <w:rPr>
          <w:rFonts w:ascii="Arial" w:cs="Arial" w:eastAsia="Arial" w:hAnsi="Arial"/>
          <w:sz w:val="20"/>
          <w:szCs w:val="20"/>
          <w:color w:val="auto"/>
        </w:rPr>
        <w:t>Received a services award for maintenance of wellheads and trees from Crescent Petroleum for its Nahrwan field; successfully completed the installation of trees as part of Total’s Diyab Unconventional Exploration project.</w:t>
      </w:r>
    </w:p>
    <w:p>
      <w:pPr>
        <w:spacing w:after="0" w:line="53" w:lineRule="exact"/>
        <w:rPr>
          <w:rFonts w:ascii="Arial" w:cs="Arial" w:eastAsia="Arial" w:hAnsi="Arial"/>
          <w:sz w:val="20"/>
          <w:szCs w:val="20"/>
          <w:b w:val="1"/>
          <w:bCs w:val="1"/>
          <w:color w:val="auto"/>
        </w:rPr>
      </w:pPr>
    </w:p>
    <w:p>
      <w:pPr>
        <w:ind w:left="640" w:hanging="308"/>
        <w:spacing w:after="0"/>
        <w:tabs>
          <w:tab w:leader="none" w:pos="640" w:val="left"/>
        </w:tabs>
        <w:numPr>
          <w:ilvl w:val="0"/>
          <w:numId w:val="12"/>
        </w:numPr>
        <w:rPr>
          <w:rFonts w:ascii="Arial" w:cs="Arial" w:eastAsia="Arial" w:hAnsi="Arial"/>
          <w:sz w:val="20"/>
          <w:szCs w:val="20"/>
          <w:b w:val="1"/>
          <w:bCs w:val="1"/>
          <w:color w:val="auto"/>
        </w:rPr>
      </w:pPr>
      <w:r>
        <w:rPr>
          <w:rFonts w:ascii="Arial" w:cs="Arial" w:eastAsia="Arial" w:hAnsi="Arial"/>
          <w:sz w:val="20"/>
          <w:szCs w:val="20"/>
          <w:b w:val="1"/>
          <w:bCs w:val="1"/>
          <w:color w:val="auto"/>
        </w:rPr>
        <w:t>Successful commercialization of iComplete</w:t>
      </w:r>
      <w:r>
        <w:rPr>
          <w:rFonts w:ascii="Arial" w:cs="Arial" w:eastAsia="Arial" w:hAnsi="Arial"/>
          <w:sz w:val="12"/>
          <w:szCs w:val="12"/>
          <w:b w:val="1"/>
          <w:bCs w:val="1"/>
          <w:color w:val="auto"/>
        </w:rPr>
        <w:t>TM</w:t>
      </w:r>
      <w:r>
        <w:rPr>
          <w:rFonts w:ascii="Arial" w:cs="Arial" w:eastAsia="Arial" w:hAnsi="Arial"/>
          <w:sz w:val="20"/>
          <w:szCs w:val="20"/>
          <w:b w:val="1"/>
          <w:bCs w:val="1"/>
          <w:color w:val="auto"/>
        </w:rPr>
        <w:t xml:space="preserve"> system </w:t>
      </w:r>
      <w:r>
        <w:rPr>
          <w:rFonts w:ascii="Arial" w:cs="Arial" w:eastAsia="Arial" w:hAnsi="Arial"/>
          <w:sz w:val="17"/>
          <w:szCs w:val="17"/>
          <w:b w:val="1"/>
          <w:bCs w:val="1"/>
          <w:color w:val="auto"/>
        </w:rPr>
        <w:t>(United States</w:t>
      </w:r>
      <w:r>
        <w:rPr>
          <w:rFonts w:ascii="Arial" w:cs="Arial" w:eastAsia="Arial" w:hAnsi="Arial"/>
          <w:sz w:val="20"/>
          <w:szCs w:val="20"/>
          <w:b w:val="1"/>
          <w:bCs w:val="1"/>
          <w:color w:val="auto"/>
        </w:rPr>
        <w:t>)</w:t>
      </w:r>
    </w:p>
    <w:p>
      <w:pPr>
        <w:spacing w:after="0" w:line="27" w:lineRule="exact"/>
        <w:rPr>
          <w:rFonts w:ascii="Arial" w:cs="Arial" w:eastAsia="Arial" w:hAnsi="Arial"/>
          <w:sz w:val="20"/>
          <w:szCs w:val="20"/>
          <w:b w:val="1"/>
          <w:bCs w:val="1"/>
          <w:color w:val="auto"/>
        </w:rPr>
      </w:pPr>
    </w:p>
    <w:p>
      <w:pPr>
        <w:ind w:left="660"/>
        <w:spacing w:after="0"/>
        <w:rPr>
          <w:rFonts w:ascii="Arial" w:cs="Arial" w:eastAsia="Arial" w:hAnsi="Arial"/>
          <w:sz w:val="20"/>
          <w:szCs w:val="20"/>
          <w:b w:val="1"/>
          <w:bCs w:val="1"/>
          <w:color w:val="auto"/>
        </w:rPr>
      </w:pPr>
      <w:r>
        <w:rPr>
          <w:rFonts w:ascii="Arial" w:cs="Arial" w:eastAsia="Arial" w:hAnsi="Arial"/>
          <w:sz w:val="19"/>
          <w:szCs w:val="19"/>
          <w:color w:val="auto"/>
        </w:rPr>
        <w:t>Secured awards from operators in all major U.S. basins for our iComplete™ system offering for surface well completions.</w:t>
      </w:r>
    </w:p>
    <w:p>
      <w:pPr>
        <w:spacing w:after="0" w:line="77" w:lineRule="exact"/>
        <w:rPr>
          <w:rFonts w:ascii="Arial" w:cs="Arial" w:eastAsia="Arial" w:hAnsi="Arial"/>
          <w:sz w:val="20"/>
          <w:szCs w:val="20"/>
          <w:b w:val="1"/>
          <w:bCs w:val="1"/>
          <w:color w:val="auto"/>
        </w:rPr>
      </w:pPr>
    </w:p>
    <w:p>
      <w:pPr>
        <w:ind w:left="620" w:hanging="288"/>
        <w:spacing w:after="0"/>
        <w:tabs>
          <w:tab w:leader="none" w:pos="620" w:val="left"/>
        </w:tabs>
        <w:numPr>
          <w:ilvl w:val="0"/>
          <w:numId w:val="12"/>
        </w:numPr>
        <w:rPr>
          <w:rFonts w:ascii="Arial" w:cs="Arial" w:eastAsia="Arial" w:hAnsi="Arial"/>
          <w:sz w:val="20"/>
          <w:szCs w:val="20"/>
          <w:color w:val="auto"/>
        </w:rPr>
      </w:pPr>
      <w:r>
        <w:rPr>
          <w:rFonts w:ascii="Arial" w:cs="Arial" w:eastAsia="Arial" w:hAnsi="Arial"/>
          <w:sz w:val="20"/>
          <w:szCs w:val="20"/>
          <w:b w:val="1"/>
          <w:bCs w:val="1"/>
          <w:color w:val="auto"/>
        </w:rPr>
        <w:t xml:space="preserve">Orders for new UH-5 Unihead® wellhead systems </w:t>
      </w:r>
      <w:r>
        <w:rPr>
          <w:rFonts w:ascii="Arial" w:cs="Arial" w:eastAsia="Arial" w:hAnsi="Arial"/>
          <w:sz w:val="17"/>
          <w:szCs w:val="17"/>
          <w:b w:val="1"/>
          <w:bCs w:val="1"/>
          <w:color w:val="auto"/>
        </w:rPr>
        <w:t>(Malaysia)</w:t>
      </w:r>
    </w:p>
    <w:p>
      <w:pPr>
        <w:spacing w:after="0" w:line="14" w:lineRule="exact"/>
        <w:rPr>
          <w:sz w:val="20"/>
          <w:szCs w:val="20"/>
          <w:color w:val="auto"/>
        </w:rPr>
      </w:pPr>
    </w:p>
    <w:p>
      <w:pPr>
        <w:ind w:left="660"/>
        <w:spacing w:after="0" w:line="239" w:lineRule="auto"/>
        <w:rPr>
          <w:sz w:val="20"/>
          <w:szCs w:val="20"/>
          <w:color w:val="auto"/>
        </w:rPr>
      </w:pPr>
      <w:r>
        <w:rPr>
          <w:rFonts w:ascii="Arial" w:cs="Arial" w:eastAsia="Arial" w:hAnsi="Arial"/>
          <w:sz w:val="20"/>
          <w:szCs w:val="20"/>
          <w:color w:val="auto"/>
        </w:rPr>
        <w:t>Received orders with Carigali Hess Operating Company (CHOC) in support of its migration to our new standard wellhead products which reduce installation time, improve safety and minimize customers’ non-productive time.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5040"/>
        <w:spacing w:after="0"/>
        <w:tabs>
          <w:tab w:leader="none" w:pos="1034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8 of 26</w:t>
      </w:r>
    </w:p>
    <w:p>
      <w:pPr>
        <w:sectPr>
          <w:pgSz w:w="11900" w:h="16838" w:orient="portrait"/>
          <w:cols w:equalWidth="0" w:num="1">
            <w:col w:w="11240"/>
          </w:cols>
          <w:pgMar w:left="320" w:top="1440" w:right="339" w:bottom="1440" w:gutter="0" w:footer="0" w:header="0"/>
        </w:sectPr>
      </w:pPr>
    </w:p>
    <w:bookmarkStart w:id="12" w:name="page13"/>
    <w:bookmarkEnd w:id="12"/>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t>Corporate and Other Items</w:t>
      </w:r>
    </w:p>
    <w:p>
      <w:pPr>
        <w:spacing w:after="0" w:line="353" w:lineRule="exact"/>
        <w:rPr>
          <w:sz w:val="20"/>
          <w:szCs w:val="20"/>
          <w:color w:val="auto"/>
        </w:rPr>
      </w:pPr>
    </w:p>
    <w:p>
      <w:pPr>
        <w:spacing w:after="0" w:line="280" w:lineRule="auto"/>
        <w:rPr>
          <w:sz w:val="20"/>
          <w:szCs w:val="20"/>
          <w:color w:val="auto"/>
        </w:rPr>
      </w:pPr>
      <w:r>
        <w:rPr>
          <w:rFonts w:ascii="Arial" w:cs="Arial" w:eastAsia="Arial" w:hAnsi="Arial"/>
          <w:sz w:val="20"/>
          <w:szCs w:val="20"/>
          <w:color w:val="auto"/>
        </w:rPr>
        <w:t>Corporate expense in the quarter was $27.7 million. Excluding charges and credits totaling $3.8 million of expense, corporate expense was $23.9 million. The results benefited from the accelerated pace of cost reduction actions.</w:t>
      </w:r>
    </w:p>
    <w:p>
      <w:pPr>
        <w:spacing w:after="0" w:line="98" w:lineRule="exact"/>
        <w:rPr>
          <w:sz w:val="20"/>
          <w:szCs w:val="20"/>
          <w:color w:val="auto"/>
        </w:rPr>
      </w:pPr>
    </w:p>
    <w:p>
      <w:pPr>
        <w:spacing w:after="0"/>
        <w:rPr>
          <w:sz w:val="20"/>
          <w:szCs w:val="20"/>
          <w:color w:val="auto"/>
        </w:rPr>
      </w:pPr>
      <w:r>
        <w:rPr>
          <w:rFonts w:ascii="Arial" w:cs="Arial" w:eastAsia="Arial" w:hAnsi="Arial"/>
          <w:sz w:val="20"/>
          <w:szCs w:val="20"/>
          <w:color w:val="auto"/>
        </w:rPr>
        <w:t>Foreign exchange gains in the quarter were $5.6 million, which resulted primarily from the timing of naturally hedged projects.</w:t>
      </w:r>
    </w:p>
    <w:p>
      <w:pPr>
        <w:spacing w:after="0" w:line="175" w:lineRule="exact"/>
        <w:rPr>
          <w:sz w:val="20"/>
          <w:szCs w:val="20"/>
          <w:color w:val="auto"/>
        </w:rPr>
      </w:pPr>
    </w:p>
    <w:p>
      <w:pPr>
        <w:ind w:right="20"/>
        <w:spacing w:after="0" w:line="280" w:lineRule="auto"/>
        <w:rPr>
          <w:sz w:val="20"/>
          <w:szCs w:val="20"/>
          <w:color w:val="auto"/>
        </w:rPr>
      </w:pPr>
      <w:r>
        <w:rPr>
          <w:rFonts w:ascii="Arial" w:cs="Arial" w:eastAsia="Arial" w:hAnsi="Arial"/>
          <w:sz w:val="20"/>
          <w:szCs w:val="20"/>
          <w:color w:val="auto"/>
        </w:rPr>
        <w:t>Net interest expense was $91.8 million in the quarter, which included an increase in the liability payable to joint venture partners of $61.9 million.</w:t>
      </w:r>
    </w:p>
    <w:p>
      <w:pPr>
        <w:spacing w:after="0" w:line="98" w:lineRule="exact"/>
        <w:rPr>
          <w:sz w:val="20"/>
          <w:szCs w:val="20"/>
          <w:color w:val="auto"/>
        </w:rPr>
      </w:pPr>
    </w:p>
    <w:p>
      <w:pPr>
        <w:spacing w:after="0"/>
        <w:rPr>
          <w:sz w:val="20"/>
          <w:szCs w:val="20"/>
          <w:color w:val="auto"/>
        </w:rPr>
      </w:pPr>
      <w:r>
        <w:rPr>
          <w:rFonts w:ascii="Arial" w:cs="Arial" w:eastAsia="Arial" w:hAnsi="Arial"/>
          <w:sz w:val="20"/>
          <w:szCs w:val="20"/>
          <w:color w:val="auto"/>
        </w:rPr>
        <w:t>The Company recorded a tax provision in the quarter of $22.5 million.</w:t>
      </w:r>
    </w:p>
    <w:p>
      <w:pPr>
        <w:spacing w:after="0" w:line="175" w:lineRule="exact"/>
        <w:rPr>
          <w:sz w:val="20"/>
          <w:szCs w:val="20"/>
          <w:color w:val="auto"/>
        </w:rPr>
      </w:pPr>
    </w:p>
    <w:p>
      <w:pPr>
        <w:spacing w:after="0"/>
        <w:rPr>
          <w:sz w:val="20"/>
          <w:szCs w:val="20"/>
          <w:color w:val="auto"/>
        </w:rPr>
      </w:pPr>
      <w:r>
        <w:rPr>
          <w:rFonts w:ascii="Arial" w:cs="Arial" w:eastAsia="Arial" w:hAnsi="Arial"/>
          <w:sz w:val="20"/>
          <w:szCs w:val="20"/>
          <w:color w:val="auto"/>
        </w:rPr>
        <w:t>Total depreciation and amortization for the quarter was $108.5 million.</w:t>
      </w:r>
    </w:p>
    <w:p>
      <w:pPr>
        <w:spacing w:after="0" w:line="189" w:lineRule="exact"/>
        <w:rPr>
          <w:sz w:val="20"/>
          <w:szCs w:val="20"/>
          <w:color w:val="auto"/>
        </w:rPr>
      </w:pPr>
    </w:p>
    <w:p>
      <w:pPr>
        <w:spacing w:after="0"/>
        <w:rPr>
          <w:sz w:val="20"/>
          <w:szCs w:val="20"/>
          <w:color w:val="auto"/>
        </w:rPr>
      </w:pPr>
      <w:r>
        <w:rPr>
          <w:rFonts w:ascii="Arial" w:cs="Arial" w:eastAsia="Arial" w:hAnsi="Arial"/>
          <w:sz w:val="20"/>
          <w:szCs w:val="20"/>
          <w:color w:val="auto"/>
        </w:rPr>
        <w:t>The Company ended the period with cash and cash equivalents of $4,244 million; net cash was $383.8 million.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5040"/>
        <w:spacing w:after="0"/>
        <w:tabs>
          <w:tab w:leader="none" w:pos="1034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9 of 26</w:t>
      </w:r>
    </w:p>
    <w:p>
      <w:pPr>
        <w:sectPr>
          <w:pgSz w:w="11900" w:h="16838" w:orient="portrait"/>
          <w:cols w:equalWidth="0" w:num="1">
            <w:col w:w="11240"/>
          </w:cols>
          <w:pgMar w:left="320" w:top="1404" w:right="339" w:bottom="1440" w:gutter="0" w:footer="0" w:header="0"/>
        </w:sectPr>
      </w:pPr>
    </w:p>
    <w:bookmarkStart w:id="13" w:name="page14"/>
    <w:bookmarkEnd w:id="13"/>
    <w:p>
      <w:pPr>
        <w:spacing w:after="0" w:line="20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b w:val="1"/>
          <w:bCs w:val="1"/>
          <w:color w:val="auto"/>
        </w:rPr>
        <w:t>2020 Full-Year Financial Guidance</w:t>
      </w:r>
      <w:r>
        <w:rPr>
          <w:rFonts w:ascii="Arial" w:cs="Arial" w:eastAsia="Arial" w:hAnsi="Arial"/>
          <w:sz w:val="12"/>
          <w:szCs w:val="12"/>
          <w:b w:val="1"/>
          <w:bCs w:val="1"/>
          <w:color w:val="auto"/>
        </w:rPr>
        <w:t>1</w:t>
      </w:r>
    </w:p>
    <w:p>
      <w:pPr>
        <w:spacing w:after="0" w:line="245" w:lineRule="exact"/>
        <w:rPr>
          <w:sz w:val="20"/>
          <w:szCs w:val="20"/>
          <w:color w:val="auto"/>
        </w:rPr>
      </w:pPr>
    </w:p>
    <w:p>
      <w:pPr>
        <w:spacing w:after="0" w:line="280" w:lineRule="auto"/>
        <w:rPr>
          <w:sz w:val="20"/>
          <w:szCs w:val="20"/>
          <w:color w:val="auto"/>
        </w:rPr>
      </w:pPr>
      <w:r>
        <w:rPr>
          <w:rFonts w:ascii="Arial" w:cs="Arial" w:eastAsia="Arial" w:hAnsi="Arial"/>
          <w:sz w:val="20"/>
          <w:szCs w:val="20"/>
          <w:color w:val="auto"/>
        </w:rPr>
        <w:t>The Company’s full-year guidance for 2020 can be found in the table below. No updates were made to the previous guidance that was issued on July 29, 2020.</w:t>
      </w:r>
    </w:p>
    <w:p>
      <w:pPr>
        <w:spacing w:after="0" w:line="98" w:lineRule="exact"/>
        <w:rPr>
          <w:sz w:val="20"/>
          <w:szCs w:val="20"/>
          <w:color w:val="auto"/>
        </w:rPr>
      </w:pPr>
    </w:p>
    <w:p>
      <w:pPr>
        <w:spacing w:after="0"/>
        <w:rPr>
          <w:sz w:val="20"/>
          <w:szCs w:val="20"/>
          <w:color w:val="auto"/>
        </w:rPr>
      </w:pPr>
      <w:r>
        <w:rPr>
          <w:rFonts w:ascii="Arial" w:cs="Arial" w:eastAsia="Arial" w:hAnsi="Arial"/>
          <w:sz w:val="20"/>
          <w:szCs w:val="20"/>
          <w:color w:val="auto"/>
        </w:rPr>
        <w:t>All segment guidance assumes no further material degradation from COVID-19-related impacts.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309880</wp:posOffset>
            </wp:positionV>
            <wp:extent cx="6703695" cy="1885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703695" cy="188595"/>
                    </a:xfrm>
                    <a:prstGeom prst="rect">
                      <a:avLst/>
                    </a:prstGeom>
                    <a:noFill/>
                  </pic:spPr>
                </pic:pic>
              </a:graphicData>
            </a:graphic>
          </wp:anchor>
        </w:drawing>
      </w:r>
    </w:p>
    <w:p>
      <w:pPr>
        <w:spacing w:after="0" w:line="200" w:lineRule="exact"/>
        <w:rPr>
          <w:sz w:val="20"/>
          <w:szCs w:val="20"/>
          <w:color w:val="auto"/>
        </w:rPr>
      </w:pPr>
    </w:p>
    <w:p>
      <w:pPr>
        <w:spacing w:after="0" w:line="277" w:lineRule="exact"/>
        <w:rPr>
          <w:sz w:val="20"/>
          <w:szCs w:val="20"/>
          <w:color w:val="auto"/>
        </w:rPr>
      </w:pPr>
    </w:p>
    <w:p>
      <w:pPr>
        <w:ind w:left="4580"/>
        <w:spacing w:after="0"/>
        <w:rPr>
          <w:sz w:val="20"/>
          <w:szCs w:val="20"/>
          <w:color w:val="auto"/>
        </w:rPr>
      </w:pPr>
      <w:r>
        <w:rPr>
          <w:rFonts w:ascii="Arial" w:cs="Arial" w:eastAsia="Arial" w:hAnsi="Arial"/>
          <w:sz w:val="20"/>
          <w:szCs w:val="20"/>
          <w:b w:val="1"/>
          <w:bCs w:val="1"/>
          <w:color w:val="auto"/>
        </w:rPr>
        <w:t>2020 Guidance</w:t>
      </w:r>
    </w:p>
    <w:p>
      <w:pPr>
        <w:spacing w:after="0" w:line="295"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3360" w:type="dxa"/>
            <w:vAlign w:val="bottom"/>
            <w:tcBorders>
              <w:top w:val="single" w:sz="8" w:color="auto"/>
              <w:left w:val="single" w:sz="8" w:color="auto"/>
              <w:bottom w:val="single" w:sz="8" w:color="auto"/>
              <w:right w:val="single" w:sz="8" w:color="auto"/>
            </w:tcBorders>
            <w:shd w:val="clear" w:color="auto" w:fill="00A3E0"/>
          </w:tcPr>
          <w:p>
            <w:pPr>
              <w:ind w:left="1340"/>
              <w:spacing w:after="0"/>
              <w:rPr>
                <w:sz w:val="20"/>
                <w:szCs w:val="20"/>
                <w:color w:val="auto"/>
              </w:rPr>
            </w:pPr>
            <w:r>
              <w:rPr>
                <w:rFonts w:ascii="Arial" w:cs="Arial" w:eastAsia="Arial" w:hAnsi="Arial"/>
                <w:sz w:val="20"/>
                <w:szCs w:val="20"/>
                <w:b w:val="1"/>
                <w:bCs w:val="1"/>
                <w:color w:val="FFFFFF"/>
              </w:rPr>
              <w:t>Subsea</w:t>
            </w:r>
          </w:p>
        </w:tc>
        <w:tc>
          <w:tcPr>
            <w:tcW w:w="240" w:type="dxa"/>
            <w:vAlign w:val="bottom"/>
            <w:tcBorders>
              <w:top w:val="single" w:sz="8" w:color="auto"/>
              <w:right w:val="single" w:sz="8" w:color="auto"/>
            </w:tcBorders>
          </w:tcPr>
          <w:p>
            <w:pPr>
              <w:spacing w:after="0"/>
              <w:rPr>
                <w:sz w:val="24"/>
                <w:szCs w:val="24"/>
                <w:color w:val="auto"/>
              </w:rPr>
            </w:pPr>
          </w:p>
        </w:tc>
        <w:tc>
          <w:tcPr>
            <w:tcW w:w="3360" w:type="dxa"/>
            <w:vAlign w:val="bottom"/>
            <w:tcBorders>
              <w:top w:val="single" w:sz="8" w:color="auto"/>
              <w:bottom w:val="single" w:sz="8" w:color="auto"/>
              <w:right w:val="single" w:sz="8" w:color="auto"/>
            </w:tcBorders>
            <w:shd w:val="clear" w:color="auto" w:fill="C00000"/>
          </w:tcPr>
          <w:p>
            <w:pPr>
              <w:ind w:left="860"/>
              <w:spacing w:after="0"/>
              <w:rPr>
                <w:sz w:val="20"/>
                <w:szCs w:val="20"/>
                <w:color w:val="auto"/>
              </w:rPr>
            </w:pPr>
            <w:r>
              <w:rPr>
                <w:rFonts w:ascii="Arial" w:cs="Arial" w:eastAsia="Arial" w:hAnsi="Arial"/>
                <w:sz w:val="20"/>
                <w:szCs w:val="20"/>
                <w:b w:val="1"/>
                <w:bCs w:val="1"/>
                <w:color w:val="FFFFFF"/>
              </w:rPr>
              <w:t>Technip Energies</w:t>
            </w:r>
          </w:p>
        </w:tc>
        <w:tc>
          <w:tcPr>
            <w:tcW w:w="240" w:type="dxa"/>
            <w:vAlign w:val="bottom"/>
            <w:tcBorders>
              <w:top w:val="single" w:sz="8" w:color="auto"/>
              <w:right w:val="single" w:sz="8" w:color="auto"/>
            </w:tcBorders>
          </w:tcPr>
          <w:p>
            <w:pPr>
              <w:spacing w:after="0"/>
              <w:rPr>
                <w:sz w:val="24"/>
                <w:szCs w:val="24"/>
                <w:color w:val="auto"/>
              </w:rPr>
            </w:pPr>
          </w:p>
        </w:tc>
        <w:tc>
          <w:tcPr>
            <w:tcW w:w="3380" w:type="dxa"/>
            <w:vAlign w:val="bottom"/>
            <w:tcBorders>
              <w:top w:val="single" w:sz="8" w:color="auto"/>
              <w:bottom w:val="single" w:sz="8" w:color="auto"/>
              <w:right w:val="single" w:sz="8" w:color="auto"/>
            </w:tcBorders>
            <w:shd w:val="clear" w:color="auto" w:fill="7F7F7F"/>
          </w:tcPr>
          <w:p>
            <w:pPr>
              <w:ind w:left="660"/>
              <w:spacing w:after="0"/>
              <w:rPr>
                <w:sz w:val="20"/>
                <w:szCs w:val="20"/>
                <w:color w:val="auto"/>
              </w:rPr>
            </w:pPr>
            <w:r>
              <w:rPr>
                <w:rFonts w:ascii="Arial" w:cs="Arial" w:eastAsia="Arial" w:hAnsi="Arial"/>
                <w:sz w:val="20"/>
                <w:szCs w:val="20"/>
                <w:b w:val="1"/>
                <w:bCs w:val="1"/>
                <w:color w:val="FFFFFF"/>
              </w:rPr>
              <w:t>Surface Technologies</w:t>
            </w:r>
          </w:p>
        </w:tc>
      </w:tr>
      <w:tr>
        <w:trPr>
          <w:trHeight w:val="207"/>
        </w:trPr>
        <w:tc>
          <w:tcPr>
            <w:tcW w:w="3360" w:type="dxa"/>
            <w:vAlign w:val="bottom"/>
            <w:tcBorders>
              <w:left w:val="single" w:sz="8" w:color="auto"/>
              <w:right w:val="single" w:sz="8" w:color="auto"/>
            </w:tcBorders>
          </w:tcPr>
          <w:p>
            <w:pPr>
              <w:ind w:left="40"/>
              <w:spacing w:after="0" w:line="207" w:lineRule="exact"/>
              <w:rPr>
                <w:sz w:val="20"/>
                <w:szCs w:val="20"/>
                <w:color w:val="auto"/>
              </w:rPr>
            </w:pPr>
            <w:r>
              <w:rPr>
                <w:rFonts w:ascii="Arial" w:cs="Arial" w:eastAsia="Arial" w:hAnsi="Arial"/>
                <w:sz w:val="20"/>
                <w:szCs w:val="20"/>
                <w:color w:val="auto"/>
              </w:rPr>
              <w:t>Revenue in a range of $5.3 - 5.6</w:t>
            </w:r>
          </w:p>
        </w:tc>
        <w:tc>
          <w:tcPr>
            <w:tcW w:w="240" w:type="dxa"/>
            <w:vAlign w:val="bottom"/>
            <w:tcBorders>
              <w:right w:val="single" w:sz="8" w:color="auto"/>
            </w:tcBorders>
          </w:tcPr>
          <w:p>
            <w:pPr>
              <w:spacing w:after="0"/>
              <w:rPr>
                <w:sz w:val="17"/>
                <w:szCs w:val="17"/>
                <w:color w:val="auto"/>
              </w:rPr>
            </w:pPr>
          </w:p>
        </w:tc>
        <w:tc>
          <w:tcPr>
            <w:tcW w:w="3360" w:type="dxa"/>
            <w:vAlign w:val="bottom"/>
            <w:tcBorders>
              <w:right w:val="single" w:sz="8" w:color="auto"/>
            </w:tcBorders>
          </w:tcPr>
          <w:p>
            <w:pPr>
              <w:ind w:left="20"/>
              <w:spacing w:after="0" w:line="207" w:lineRule="exact"/>
              <w:rPr>
                <w:sz w:val="20"/>
                <w:szCs w:val="20"/>
                <w:color w:val="auto"/>
              </w:rPr>
            </w:pPr>
            <w:r>
              <w:rPr>
                <w:rFonts w:ascii="Arial" w:cs="Arial" w:eastAsia="Arial" w:hAnsi="Arial"/>
                <w:sz w:val="20"/>
                <w:szCs w:val="20"/>
                <w:color w:val="auto"/>
              </w:rPr>
              <w:t>Revenue in a range of $6.3 - 6.8</w:t>
            </w:r>
          </w:p>
        </w:tc>
        <w:tc>
          <w:tcPr>
            <w:tcW w:w="240" w:type="dxa"/>
            <w:vAlign w:val="bottom"/>
            <w:tcBorders>
              <w:right w:val="single" w:sz="8" w:color="auto"/>
            </w:tcBorders>
          </w:tcPr>
          <w:p>
            <w:pPr>
              <w:spacing w:after="0"/>
              <w:rPr>
                <w:sz w:val="17"/>
                <w:szCs w:val="17"/>
                <w:color w:val="auto"/>
              </w:rPr>
            </w:pPr>
          </w:p>
        </w:tc>
        <w:tc>
          <w:tcPr>
            <w:tcW w:w="3380" w:type="dxa"/>
            <w:vAlign w:val="bottom"/>
            <w:tcBorders>
              <w:right w:val="single" w:sz="8" w:color="auto"/>
            </w:tcBorders>
          </w:tcPr>
          <w:p>
            <w:pPr>
              <w:ind w:left="20"/>
              <w:spacing w:after="0" w:line="207" w:lineRule="exact"/>
              <w:rPr>
                <w:sz w:val="20"/>
                <w:szCs w:val="20"/>
                <w:color w:val="auto"/>
              </w:rPr>
            </w:pPr>
            <w:r>
              <w:rPr>
                <w:rFonts w:ascii="Arial" w:cs="Arial" w:eastAsia="Arial" w:hAnsi="Arial"/>
                <w:sz w:val="20"/>
                <w:szCs w:val="20"/>
                <w:color w:val="auto"/>
              </w:rPr>
              <w:t>Revenue in a range of $950 - 1,150</w:t>
            </w:r>
          </w:p>
        </w:tc>
      </w:tr>
      <w:tr>
        <w:trPr>
          <w:trHeight w:val="269"/>
        </w:trPr>
        <w:tc>
          <w:tcPr>
            <w:tcW w:w="33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billion</w:t>
            </w:r>
          </w:p>
        </w:tc>
        <w:tc>
          <w:tcPr>
            <w:tcW w:w="240" w:type="dxa"/>
            <w:vAlign w:val="bottom"/>
            <w:tcBorders>
              <w:right w:val="single" w:sz="8" w:color="auto"/>
            </w:tcBorders>
          </w:tcPr>
          <w:p>
            <w:pPr>
              <w:spacing w:after="0"/>
              <w:rPr>
                <w:sz w:val="23"/>
                <w:szCs w:val="23"/>
                <w:color w:val="auto"/>
              </w:rPr>
            </w:pPr>
          </w:p>
        </w:tc>
        <w:tc>
          <w:tcPr>
            <w:tcW w:w="3360" w:type="dxa"/>
            <w:vAlign w:val="bottom"/>
            <w:tcBorders>
              <w:right w:val="single" w:sz="8" w:color="auto"/>
            </w:tcBorders>
          </w:tcPr>
          <w:p>
            <w:pPr>
              <w:ind w:left="20"/>
              <w:spacing w:after="0"/>
              <w:rPr>
                <w:sz w:val="20"/>
                <w:szCs w:val="20"/>
                <w:color w:val="auto"/>
              </w:rPr>
            </w:pPr>
            <w:r>
              <w:rPr>
                <w:rFonts w:ascii="Arial" w:cs="Arial" w:eastAsia="Arial" w:hAnsi="Arial"/>
                <w:sz w:val="20"/>
                <w:szCs w:val="20"/>
                <w:color w:val="auto"/>
              </w:rPr>
              <w:t>billion</w:t>
            </w:r>
          </w:p>
        </w:tc>
        <w:tc>
          <w:tcPr>
            <w:tcW w:w="24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tcPr>
          <w:p>
            <w:pPr>
              <w:ind w:left="20"/>
              <w:spacing w:after="0"/>
              <w:rPr>
                <w:sz w:val="20"/>
                <w:szCs w:val="20"/>
                <w:color w:val="auto"/>
              </w:rPr>
            </w:pPr>
            <w:r>
              <w:rPr>
                <w:rFonts w:ascii="Arial" w:cs="Arial" w:eastAsia="Arial" w:hAnsi="Arial"/>
                <w:sz w:val="20"/>
                <w:szCs w:val="20"/>
                <w:color w:val="auto"/>
              </w:rPr>
              <w:t>million</w:t>
            </w:r>
          </w:p>
        </w:tc>
      </w:tr>
      <w:tr>
        <w:trPr>
          <w:trHeight w:val="271"/>
        </w:trPr>
        <w:tc>
          <w:tcPr>
            <w:tcW w:w="336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EBITDA margin at least 8.5%</w:t>
            </w:r>
          </w:p>
        </w:tc>
        <w:tc>
          <w:tcPr>
            <w:tcW w:w="240" w:type="dxa"/>
            <w:vAlign w:val="bottom"/>
            <w:tcBorders>
              <w:right w:val="single" w:sz="8" w:color="auto"/>
            </w:tcBorders>
          </w:tcPr>
          <w:p>
            <w:pPr>
              <w:spacing w:after="0"/>
              <w:rPr>
                <w:sz w:val="23"/>
                <w:szCs w:val="23"/>
                <w:color w:val="auto"/>
              </w:rPr>
            </w:pPr>
          </w:p>
        </w:tc>
        <w:tc>
          <w:tcPr>
            <w:tcW w:w="3360" w:type="dxa"/>
            <w:vAlign w:val="bottom"/>
            <w:tcBorders>
              <w:right w:val="single" w:sz="8" w:color="auto"/>
            </w:tcBorders>
          </w:tcPr>
          <w:p>
            <w:pPr>
              <w:ind w:left="20"/>
              <w:spacing w:after="0"/>
              <w:rPr>
                <w:sz w:val="20"/>
                <w:szCs w:val="20"/>
                <w:color w:val="auto"/>
              </w:rPr>
            </w:pPr>
            <w:r>
              <w:rPr>
                <w:rFonts w:ascii="Arial" w:cs="Arial" w:eastAsia="Arial" w:hAnsi="Arial"/>
                <w:sz w:val="20"/>
                <w:szCs w:val="20"/>
                <w:color w:val="auto"/>
              </w:rPr>
              <w:t>EBITDA margin at least 10%</w:t>
            </w:r>
          </w:p>
        </w:tc>
        <w:tc>
          <w:tcPr>
            <w:tcW w:w="24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tcPr>
          <w:p>
            <w:pPr>
              <w:ind w:left="20"/>
              <w:spacing w:after="0"/>
              <w:rPr>
                <w:sz w:val="20"/>
                <w:szCs w:val="20"/>
                <w:color w:val="auto"/>
              </w:rPr>
            </w:pPr>
            <w:r>
              <w:rPr>
                <w:rFonts w:ascii="Arial" w:cs="Arial" w:eastAsia="Arial" w:hAnsi="Arial"/>
                <w:sz w:val="20"/>
                <w:szCs w:val="20"/>
                <w:color w:val="auto"/>
              </w:rPr>
              <w:t>EBITDA margin at least 5.5%</w:t>
            </w:r>
          </w:p>
        </w:tc>
      </w:tr>
      <w:tr>
        <w:trPr>
          <w:trHeight w:val="271"/>
        </w:trPr>
        <w:tc>
          <w:tcPr>
            <w:tcW w:w="336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(excluding charges and credits)</w:t>
            </w:r>
          </w:p>
        </w:tc>
        <w:tc>
          <w:tcPr>
            <w:tcW w:w="240" w:type="dxa"/>
            <w:vAlign w:val="bottom"/>
            <w:tcBorders>
              <w:bottom w:val="single" w:sz="8" w:color="auto"/>
              <w:right w:val="single" w:sz="8" w:color="auto"/>
            </w:tcBorders>
          </w:tcPr>
          <w:p>
            <w:pPr>
              <w:spacing w:after="0"/>
              <w:rPr>
                <w:sz w:val="23"/>
                <w:szCs w:val="23"/>
                <w:color w:val="auto"/>
              </w:rPr>
            </w:pPr>
          </w:p>
        </w:tc>
        <w:tc>
          <w:tcPr>
            <w:tcW w:w="336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(excluding charges and credits)</w:t>
            </w:r>
          </w:p>
        </w:tc>
        <w:tc>
          <w:tcPr>
            <w:tcW w:w="240" w:type="dxa"/>
            <w:vAlign w:val="bottom"/>
            <w:tcBorders>
              <w:bottom w:val="single" w:sz="8" w:color="auto"/>
              <w:right w:val="single" w:sz="8" w:color="auto"/>
            </w:tcBorders>
          </w:tcPr>
          <w:p>
            <w:pPr>
              <w:spacing w:after="0"/>
              <w:rPr>
                <w:sz w:val="23"/>
                <w:szCs w:val="23"/>
                <w:color w:val="auto"/>
              </w:rPr>
            </w:pPr>
          </w:p>
        </w:tc>
        <w:tc>
          <w:tcPr>
            <w:tcW w:w="338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(excluding charges and credits)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6703695" cy="19970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703695" cy="1997075"/>
                    </a:xfrm>
                    <a:prstGeom prst="rect">
                      <a:avLst/>
                    </a:prstGeom>
                    <a:noFill/>
                  </pic:spPr>
                </pic:pic>
              </a:graphicData>
            </a:graphic>
          </wp:anchor>
        </w:drawing>
      </w:r>
    </w:p>
    <w:p>
      <w:pPr>
        <w:spacing w:after="0" w:line="245" w:lineRule="exact"/>
        <w:rPr>
          <w:sz w:val="20"/>
          <w:szCs w:val="20"/>
          <w:color w:val="auto"/>
        </w:rPr>
      </w:pPr>
    </w:p>
    <w:p>
      <w:pPr>
        <w:ind w:left="4700"/>
        <w:spacing w:after="0"/>
        <w:rPr>
          <w:sz w:val="20"/>
          <w:szCs w:val="20"/>
          <w:color w:val="auto"/>
        </w:rPr>
      </w:pPr>
      <w:r>
        <w:rPr>
          <w:rFonts w:ascii="Arial" w:cs="Arial" w:eastAsia="Arial" w:hAnsi="Arial"/>
          <w:sz w:val="20"/>
          <w:szCs w:val="20"/>
          <w:b w:val="1"/>
          <w:bCs w:val="1"/>
          <w:color w:val="FFFFFF"/>
        </w:rPr>
        <w:t>TechnipFMC</w:t>
      </w:r>
    </w:p>
    <w:p>
      <w:pPr>
        <w:spacing w:after="0" w:line="51"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 xml:space="preserve">Corporate expense, net </w:t>
      </w:r>
      <w:r>
        <w:rPr>
          <w:rFonts w:ascii="Arial" w:cs="Arial" w:eastAsia="Arial" w:hAnsi="Arial"/>
          <w:sz w:val="20"/>
          <w:szCs w:val="20"/>
          <w:color w:val="auto"/>
        </w:rPr>
        <w:t>$130 - 150 million</w:t>
      </w:r>
    </w:p>
    <w:p>
      <w:pPr>
        <w:spacing w:after="0" w:line="272"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 xml:space="preserve">Net interest expense </w:t>
      </w:r>
      <w:r>
        <w:rPr>
          <w:rFonts w:ascii="Arial" w:cs="Arial" w:eastAsia="Arial" w:hAnsi="Arial"/>
          <w:sz w:val="20"/>
          <w:szCs w:val="20"/>
          <w:color w:val="auto"/>
        </w:rPr>
        <w:t>$80 - 90 million</w:t>
      </w:r>
    </w:p>
    <w:p>
      <w:pPr>
        <w:spacing w:after="0" w:line="51" w:lineRule="exact"/>
        <w:rPr>
          <w:sz w:val="20"/>
          <w:szCs w:val="20"/>
          <w:color w:val="auto"/>
        </w:rPr>
      </w:pPr>
    </w:p>
    <w:p>
      <w:pPr>
        <w:ind w:left="180"/>
        <w:spacing w:after="0"/>
        <w:rPr>
          <w:sz w:val="20"/>
          <w:szCs w:val="20"/>
          <w:color w:val="auto"/>
        </w:rPr>
      </w:pPr>
      <w:r>
        <w:rPr>
          <w:rFonts w:ascii="Arial" w:cs="Arial" w:eastAsia="Arial" w:hAnsi="Arial"/>
          <w:sz w:val="16"/>
          <w:szCs w:val="16"/>
          <w:i w:val="1"/>
          <w:iCs w:val="1"/>
          <w:color w:val="auto"/>
        </w:rPr>
        <w:t>(excluding the impact of revaluation of partners’ mandatorily redeemable financial liability)</w:t>
      </w:r>
    </w:p>
    <w:p>
      <w:pPr>
        <w:spacing w:after="0" w:line="291"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 xml:space="preserve">Tax provision, as reported </w:t>
      </w:r>
      <w:r>
        <w:rPr>
          <w:rFonts w:ascii="Arial" w:cs="Arial" w:eastAsia="Arial" w:hAnsi="Arial"/>
          <w:sz w:val="20"/>
          <w:szCs w:val="20"/>
          <w:color w:val="auto"/>
        </w:rPr>
        <w:t>$80 - 90 million</w:t>
      </w:r>
    </w:p>
    <w:p>
      <w:pPr>
        <w:spacing w:after="0" w:line="283"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 xml:space="preserve">Capital expenditures </w:t>
      </w:r>
      <w:r>
        <w:rPr>
          <w:rFonts w:ascii="Arial" w:cs="Arial" w:eastAsia="Arial" w:hAnsi="Arial"/>
          <w:sz w:val="20"/>
          <w:szCs w:val="20"/>
          <w:color w:val="auto"/>
        </w:rPr>
        <w:t>approximately $300 million</w:t>
      </w:r>
    </w:p>
    <w:p>
      <w:pPr>
        <w:spacing w:after="0" w:line="283"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 xml:space="preserve">Free cash flow </w:t>
      </w:r>
      <w:r>
        <w:rPr>
          <w:rFonts w:ascii="Arial" w:cs="Arial" w:eastAsia="Arial" w:hAnsi="Arial"/>
          <w:sz w:val="20"/>
          <w:szCs w:val="20"/>
          <w:color w:val="auto"/>
        </w:rPr>
        <w:t>$0 - 150 million</w:t>
      </w:r>
    </w:p>
    <w:p>
      <w:pPr>
        <w:spacing w:after="0" w:line="51" w:lineRule="exact"/>
        <w:rPr>
          <w:sz w:val="20"/>
          <w:szCs w:val="20"/>
          <w:color w:val="auto"/>
        </w:rPr>
      </w:pPr>
    </w:p>
    <w:p>
      <w:pPr>
        <w:ind w:left="180"/>
        <w:spacing w:after="0"/>
        <w:rPr>
          <w:sz w:val="20"/>
          <w:szCs w:val="20"/>
          <w:color w:val="auto"/>
        </w:rPr>
      </w:pPr>
      <w:r>
        <w:rPr>
          <w:rFonts w:ascii="Arial" w:cs="Arial" w:eastAsia="Arial" w:hAnsi="Arial"/>
          <w:sz w:val="16"/>
          <w:szCs w:val="16"/>
          <w:i w:val="1"/>
          <w:iCs w:val="1"/>
          <w:color w:val="auto"/>
        </w:rPr>
        <w:t>(cash flow from operations less capital expenditures)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908050</wp:posOffset>
            </wp:positionV>
            <wp:extent cx="171450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71450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right="200" w:firstLine="8"/>
        <w:spacing w:after="0" w:line="234" w:lineRule="auto"/>
        <w:tabs>
          <w:tab w:leader="none" w:pos="88" w:val="left"/>
        </w:tabs>
        <w:numPr>
          <w:ilvl w:val="0"/>
          <w:numId w:val="13"/>
        </w:numPr>
        <w:rPr>
          <w:rFonts w:ascii="Arial" w:cs="Arial" w:eastAsia="Arial" w:hAnsi="Arial"/>
          <w:sz w:val="21"/>
          <w:szCs w:val="21"/>
          <w:color w:val="auto"/>
          <w:vertAlign w:val="superscript"/>
        </w:rPr>
      </w:pPr>
      <w:r>
        <w:rPr>
          <w:rFonts w:ascii="Arial" w:cs="Arial" w:eastAsia="Arial" w:hAnsi="Arial"/>
          <w:sz w:val="16"/>
          <w:szCs w:val="16"/>
          <w:color w:val="auto"/>
        </w:rPr>
        <w:t>2020 segment guidance is reflective of new business perimeters previously announced in 2019. Businesses with approximately $120 million of total revenue in 2019, most of which was in the Surface Technologies segment, were re-allocated to Technip Energies at the beginning of 2020. The revenue of these businesses is included in Technip Energies guidance for 2020.</w:t>
      </w:r>
    </w:p>
    <w:p>
      <w:pPr>
        <w:spacing w:after="0" w:line="27" w:lineRule="exact"/>
        <w:rPr>
          <w:sz w:val="20"/>
          <w:szCs w:val="20"/>
          <w:color w:val="auto"/>
        </w:rPr>
      </w:pPr>
    </w:p>
    <w:p>
      <w:pPr>
        <w:ind w:right="40"/>
        <w:spacing w:after="0" w:line="257" w:lineRule="auto"/>
        <w:rPr>
          <w:sz w:val="20"/>
          <w:szCs w:val="20"/>
          <w:color w:val="auto"/>
        </w:rPr>
      </w:pPr>
      <w:r>
        <w:rPr>
          <w:rFonts w:ascii="Arial" w:cs="Arial" w:eastAsia="Arial" w:hAnsi="Arial"/>
          <w:sz w:val="16"/>
          <w:szCs w:val="16"/>
          <w:color w:val="auto"/>
        </w:rPr>
        <w:t>Our guidance measures adjusted EBITDA margin, corporate expense, net, net interest expense (excluding the impact of revaluation of partners’ mandatorily redeemable financial liability) and free cash flow are non-GAAP financial measures. We are unable to provide a reconciliation to comparable GAAP financial measures on a forward-looking basis without unreasonable effort because of the unpredictability of the individual components of the most directly comparable GAAP financial measure and the variability of items excluded from each such measure. Such information may have a significant, and potentially unpredictable, impact on our future financial results.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5040"/>
        <w:spacing w:after="0"/>
        <w:tabs>
          <w:tab w:leader="none" w:pos="1026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10 of 26</w:t>
      </w:r>
    </w:p>
    <w:p>
      <w:pPr>
        <w:sectPr>
          <w:pgSz w:w="11900" w:h="16838" w:orient="portrait"/>
          <w:cols w:equalWidth="0" w:num="1">
            <w:col w:w="11240"/>
          </w:cols>
          <w:pgMar w:left="320" w:top="1440" w:right="339" w:bottom="1440" w:gutter="0" w:footer="0" w:header="0"/>
        </w:sectPr>
      </w:pPr>
    </w:p>
    <w:bookmarkStart w:id="14" w:name="page15"/>
    <w:bookmarkEnd w:id="14"/>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t>Teleconference</w:t>
      </w:r>
    </w:p>
    <w:p>
      <w:pPr>
        <w:spacing w:after="0" w:line="200" w:lineRule="exact"/>
        <w:rPr>
          <w:sz w:val="20"/>
          <w:szCs w:val="20"/>
          <w:color w:val="auto"/>
        </w:rPr>
      </w:pPr>
    </w:p>
    <w:p>
      <w:pPr>
        <w:spacing w:after="0" w:line="220" w:lineRule="exact"/>
        <w:rPr>
          <w:sz w:val="20"/>
          <w:szCs w:val="20"/>
          <w:color w:val="auto"/>
        </w:rPr>
      </w:pPr>
    </w:p>
    <w:p>
      <w:pPr>
        <w:jc w:val="both"/>
        <w:spacing w:after="0" w:line="259" w:lineRule="auto"/>
        <w:rPr>
          <w:sz w:val="20"/>
          <w:szCs w:val="20"/>
          <w:color w:val="auto"/>
        </w:rPr>
      </w:pPr>
      <w:r>
        <w:rPr>
          <w:rFonts w:ascii="Arial" w:cs="Arial" w:eastAsia="Arial" w:hAnsi="Arial"/>
          <w:sz w:val="20"/>
          <w:szCs w:val="20"/>
          <w:color w:val="auto"/>
        </w:rPr>
        <w:t xml:space="preserve">The Company will host a teleconference on Thursday, October 22, 2020 to discuss the third quarter 2020 financial results. The call will begin at 1 p.m. London time (8 a.m. New York time). Dial-in information and an accompanying presentation can be found at </w:t>
      </w:r>
      <w:r>
        <w:rPr>
          <w:rFonts w:ascii="Arial" w:cs="Arial" w:eastAsia="Arial" w:hAnsi="Arial"/>
          <w:sz w:val="20"/>
          <w:szCs w:val="20"/>
          <w:u w:val="single" w:color="auto"/>
          <w:color w:val="0000FF"/>
        </w:rPr>
        <w:t>www.TechnipFMC.com</w:t>
      </w:r>
      <w:r>
        <w:rPr>
          <w:rFonts w:ascii="Arial" w:cs="Arial" w:eastAsia="Arial" w:hAnsi="Arial"/>
          <w:sz w:val="20"/>
          <w:szCs w:val="20"/>
          <w:color w:val="auto"/>
        </w:rPr>
        <w:t>.</w:t>
      </w:r>
    </w:p>
    <w:p>
      <w:pPr>
        <w:spacing w:after="0" w:line="133" w:lineRule="exact"/>
        <w:rPr>
          <w:sz w:val="20"/>
          <w:szCs w:val="20"/>
          <w:color w:val="auto"/>
        </w:rPr>
      </w:pPr>
    </w:p>
    <w:p>
      <w:pPr>
        <w:jc w:val="both"/>
        <w:spacing w:after="0" w:line="259" w:lineRule="auto"/>
        <w:rPr>
          <w:sz w:val="20"/>
          <w:szCs w:val="20"/>
          <w:color w:val="auto"/>
        </w:rPr>
      </w:pPr>
      <w:r>
        <w:rPr>
          <w:rFonts w:ascii="Arial" w:cs="Arial" w:eastAsia="Arial" w:hAnsi="Arial"/>
          <w:sz w:val="20"/>
          <w:szCs w:val="20"/>
          <w:color w:val="auto"/>
        </w:rPr>
        <w:t>Webcast access will also be available on our website prior to the start of the call. An archived audio replay will be available after the event at the same website address. In the event of a disruption of service or technical difficulty during the call, information will be posted on our website.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5040"/>
        <w:spacing w:after="0"/>
        <w:tabs>
          <w:tab w:leader="none" w:pos="1026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11 of 26</w:t>
      </w:r>
    </w:p>
    <w:p>
      <w:pPr>
        <w:sectPr>
          <w:pgSz w:w="11900" w:h="16838" w:orient="portrait"/>
          <w:cols w:equalWidth="0" w:num="1">
            <w:col w:w="11240"/>
          </w:cols>
          <w:pgMar w:left="320" w:top="1404" w:right="339" w:bottom="1440" w:gutter="0" w:footer="0" w:header="0"/>
        </w:sectPr>
      </w:pPr>
    </w:p>
    <w:bookmarkStart w:id="15" w:name="page16"/>
    <w:bookmarkEnd w:id="15"/>
    <w:p>
      <w:pPr>
        <w:jc w:val="cente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t>###</w:t>
      </w:r>
    </w:p>
    <w:p>
      <w:pPr>
        <w:spacing w:after="0" w:line="179"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808080"/>
        </w:rPr>
        <w:t>About TechnipFMC</w:t>
      </w:r>
    </w:p>
    <w:p>
      <w:pPr>
        <w:spacing w:after="0" w:line="200" w:lineRule="exact"/>
        <w:rPr>
          <w:sz w:val="20"/>
          <w:szCs w:val="20"/>
          <w:color w:val="auto"/>
        </w:rPr>
      </w:pPr>
    </w:p>
    <w:p>
      <w:pPr>
        <w:spacing w:after="0" w:line="234" w:lineRule="exact"/>
        <w:rPr>
          <w:sz w:val="20"/>
          <w:szCs w:val="20"/>
          <w:color w:val="auto"/>
        </w:rPr>
      </w:pPr>
    </w:p>
    <w:p>
      <w:pPr>
        <w:jc w:val="both"/>
        <w:spacing w:after="0" w:line="257" w:lineRule="auto"/>
        <w:rPr>
          <w:sz w:val="20"/>
          <w:szCs w:val="20"/>
          <w:color w:val="auto"/>
        </w:rPr>
      </w:pPr>
      <w:r>
        <w:rPr>
          <w:rFonts w:ascii="Arial" w:cs="Arial" w:eastAsia="Arial" w:hAnsi="Arial"/>
          <w:sz w:val="20"/>
          <w:szCs w:val="20"/>
          <w:i w:val="1"/>
          <w:iCs w:val="1"/>
          <w:color w:val="808080"/>
        </w:rPr>
        <w:t>TechnipFMC is a global leader in the energy industry; delivering projects, products, technologies and services. With our proprietary technologies and production systems, integrated expertise, and comprehensive solutions, we are transforming our customers’ project economics.</w:t>
      </w:r>
    </w:p>
    <w:p>
      <w:pPr>
        <w:spacing w:after="0" w:line="125" w:lineRule="exact"/>
        <w:rPr>
          <w:sz w:val="20"/>
          <w:szCs w:val="20"/>
          <w:color w:val="auto"/>
        </w:rPr>
      </w:pPr>
    </w:p>
    <w:p>
      <w:pPr>
        <w:jc w:val="both"/>
        <w:spacing w:after="0" w:line="251" w:lineRule="auto"/>
        <w:rPr>
          <w:sz w:val="20"/>
          <w:szCs w:val="20"/>
          <w:color w:val="auto"/>
        </w:rPr>
      </w:pPr>
      <w:r>
        <w:rPr>
          <w:rFonts w:ascii="Arial" w:cs="Arial" w:eastAsia="Arial" w:hAnsi="Arial"/>
          <w:sz w:val="20"/>
          <w:szCs w:val="20"/>
          <w:i w:val="1"/>
          <w:iCs w:val="1"/>
          <w:color w:val="808080"/>
        </w:rPr>
        <w:t>Organized in three business segments — Subsea, Surface Technologies and Technip Energies — we are uniquely positioned to deliver greater efficiency across project lifecycles from concept to project delivery and beyond. Through innovative technologies and improved efficiencies, our offering unlocks new possibilities for our customers in developing their energy resources and in their positioning to meet the energy transition challenge.</w:t>
      </w:r>
    </w:p>
    <w:p>
      <w:pPr>
        <w:spacing w:after="0" w:line="131" w:lineRule="exact"/>
        <w:rPr>
          <w:sz w:val="20"/>
          <w:szCs w:val="20"/>
          <w:color w:val="auto"/>
        </w:rPr>
      </w:pPr>
    </w:p>
    <w:p>
      <w:pPr>
        <w:jc w:val="both"/>
        <w:spacing w:after="0" w:line="276" w:lineRule="auto"/>
        <w:rPr>
          <w:sz w:val="20"/>
          <w:szCs w:val="20"/>
          <w:color w:val="auto"/>
        </w:rPr>
      </w:pPr>
      <w:r>
        <w:rPr>
          <w:rFonts w:ascii="Arial" w:cs="Arial" w:eastAsia="Arial" w:hAnsi="Arial"/>
          <w:sz w:val="20"/>
          <w:szCs w:val="20"/>
          <w:i w:val="1"/>
          <w:iCs w:val="1"/>
          <w:color w:val="808080"/>
        </w:rPr>
        <w:t>Each of our approximately 37,000 employees is driven by a steady commitment to clients and a culture of project execution, purposeful innovation, challenging industry conventions, and rethinking how the best results are achieved.</w:t>
      </w:r>
    </w:p>
    <w:p>
      <w:pPr>
        <w:spacing w:after="0" w:line="119" w:lineRule="exact"/>
        <w:rPr>
          <w:sz w:val="20"/>
          <w:szCs w:val="20"/>
          <w:color w:val="auto"/>
        </w:rPr>
      </w:pPr>
    </w:p>
    <w:p>
      <w:pPr>
        <w:ind w:right="320"/>
        <w:spacing w:after="0" w:line="257" w:lineRule="auto"/>
        <w:rPr>
          <w:sz w:val="20"/>
          <w:szCs w:val="20"/>
          <w:color w:val="auto"/>
        </w:rPr>
      </w:pPr>
      <w:r>
        <w:rPr>
          <w:rFonts w:ascii="Arial" w:cs="Arial" w:eastAsia="Arial" w:hAnsi="Arial"/>
          <w:sz w:val="20"/>
          <w:szCs w:val="20"/>
          <w:i w:val="1"/>
          <w:iCs w:val="1"/>
          <w:color w:val="808080"/>
        </w:rPr>
        <w:t>TechnipFMC utilizes its website www.TechnipFMC.com as a channel of distribution of material company information. To learn more about us and how we are enhancing the performance of the world’s energy industry, go to www.TechnipFMC.com and follow us on Twitter @TechnipFMC.</w:t>
      </w:r>
    </w:p>
    <w:p>
      <w:pPr>
        <w:spacing w:after="0" w:line="278" w:lineRule="exact"/>
        <w:rPr>
          <w:sz w:val="20"/>
          <w:szCs w:val="20"/>
          <w:color w:val="auto"/>
        </w:rPr>
      </w:pPr>
    </w:p>
    <w:p>
      <w:pPr>
        <w:jc w:val="both"/>
        <w:spacing w:after="0" w:line="258" w:lineRule="auto"/>
        <w:rPr>
          <w:sz w:val="20"/>
          <w:szCs w:val="20"/>
          <w:color w:val="auto"/>
        </w:rPr>
      </w:pPr>
      <w:r>
        <w:rPr>
          <w:rFonts w:ascii="Arial" w:cs="Arial" w:eastAsia="Arial" w:hAnsi="Arial"/>
          <w:sz w:val="18"/>
          <w:szCs w:val="18"/>
          <w:i w:val="1"/>
          <w:iCs w:val="1"/>
          <w:color w:val="808080"/>
        </w:rPr>
        <w:t>This communication contains “forward-looking statements” as defined in Section 27A of the United States Securities Act of 1933, as amended, and Section 21E of the United States Securities Exchange Act of 1934, as amended. Words such as “guidance,” “confident,” “believe,” “expect,” “anticipate,” “plan,” “intend,” “foresee,” “should,” “would,” “could,” “may,” “will,” “likely,” “predicated,” “estimate,” “outlook” and similar expressions are intended to identify forward -looking statements, which are generally not historical in nature. Such forward-looking statements involve significant risks, uncertainties and assumptions that could cause actual results to differ materially from our historical experience and our present expectations or projections, including the following known material factors:</w:t>
      </w:r>
    </w:p>
    <w:p>
      <w:pPr>
        <w:spacing w:after="0" w:line="136" w:lineRule="exact"/>
        <w:rPr>
          <w:sz w:val="20"/>
          <w:szCs w:val="20"/>
          <w:color w:val="auto"/>
        </w:rPr>
      </w:pPr>
    </w:p>
    <w:p>
      <w:pPr>
        <w:jc w:val="both"/>
        <w:ind w:left="660" w:hanging="328"/>
        <w:spacing w:after="0" w:line="256" w:lineRule="auto"/>
        <w:tabs>
          <w:tab w:leader="none" w:pos="655" w:val="left"/>
        </w:tabs>
        <w:numPr>
          <w:ilvl w:val="0"/>
          <w:numId w:val="14"/>
        </w:numPr>
        <w:rPr>
          <w:rFonts w:ascii="Arial" w:cs="Arial" w:eastAsia="Arial" w:hAnsi="Arial"/>
          <w:sz w:val="18"/>
          <w:szCs w:val="18"/>
          <w:i w:val="1"/>
          <w:iCs w:val="1"/>
          <w:color w:val="808080"/>
        </w:rPr>
      </w:pPr>
      <w:r>
        <w:rPr>
          <w:rFonts w:ascii="Arial" w:cs="Arial" w:eastAsia="Arial" w:hAnsi="Arial"/>
          <w:sz w:val="18"/>
          <w:szCs w:val="18"/>
          <w:i w:val="1"/>
          <w:iCs w:val="1"/>
          <w:color w:val="808080"/>
        </w:rPr>
        <w:t>risks associated with disease outbreaks and other public health issues, including the coronavirus disease 2019 (“COVID-19”), their impact on the global economy and the business of our company, customers, suppliers and other partners, changes in, and the administration of, treaties, laws, and regulations, including in response to such issues and the potential for such issues to exacerbate other risks we face, including those related to the factors listed or referenced below;</w:t>
      </w:r>
    </w:p>
    <w:p>
      <w:pPr>
        <w:ind w:left="660" w:hanging="328"/>
        <w:spacing w:after="0"/>
        <w:tabs>
          <w:tab w:leader="none" w:pos="660" w:val="left"/>
        </w:tabs>
        <w:numPr>
          <w:ilvl w:val="0"/>
          <w:numId w:val="14"/>
        </w:numPr>
        <w:rPr>
          <w:rFonts w:ascii="Arial" w:cs="Arial" w:eastAsia="Arial" w:hAnsi="Arial"/>
          <w:sz w:val="18"/>
          <w:szCs w:val="18"/>
          <w:i w:val="1"/>
          <w:iCs w:val="1"/>
          <w:color w:val="808080"/>
        </w:rPr>
      </w:pPr>
      <w:r>
        <w:rPr>
          <w:rFonts w:ascii="Arial" w:cs="Arial" w:eastAsia="Arial" w:hAnsi="Arial"/>
          <w:sz w:val="18"/>
          <w:szCs w:val="18"/>
          <w:i w:val="1"/>
          <w:iCs w:val="1"/>
          <w:color w:val="808080"/>
        </w:rPr>
        <w:t>risks associated with our ability to consummate our proposed separation and spin-off;</w:t>
      </w:r>
    </w:p>
    <w:p>
      <w:pPr>
        <w:spacing w:after="0" w:line="9" w:lineRule="exact"/>
        <w:rPr>
          <w:rFonts w:ascii="Arial" w:cs="Arial" w:eastAsia="Arial" w:hAnsi="Arial"/>
          <w:sz w:val="18"/>
          <w:szCs w:val="18"/>
          <w:i w:val="1"/>
          <w:iCs w:val="1"/>
          <w:color w:val="808080"/>
        </w:rPr>
      </w:pPr>
    </w:p>
    <w:p>
      <w:pPr>
        <w:ind w:left="660" w:hanging="328"/>
        <w:spacing w:after="0"/>
        <w:tabs>
          <w:tab w:leader="none" w:pos="660" w:val="left"/>
        </w:tabs>
        <w:numPr>
          <w:ilvl w:val="0"/>
          <w:numId w:val="14"/>
        </w:numPr>
        <w:rPr>
          <w:rFonts w:ascii="Arial" w:cs="Arial" w:eastAsia="Arial" w:hAnsi="Arial"/>
          <w:sz w:val="18"/>
          <w:szCs w:val="18"/>
          <w:i w:val="1"/>
          <w:iCs w:val="1"/>
          <w:color w:val="808080"/>
        </w:rPr>
      </w:pPr>
      <w:r>
        <w:rPr>
          <w:rFonts w:ascii="Arial" w:cs="Arial" w:eastAsia="Arial" w:hAnsi="Arial"/>
          <w:sz w:val="18"/>
          <w:szCs w:val="18"/>
          <w:i w:val="1"/>
          <w:iCs w:val="1"/>
          <w:color w:val="808080"/>
        </w:rPr>
        <w:t>unanticipated changes relating to competitive factors in our industry;</w:t>
      </w:r>
    </w:p>
    <w:p>
      <w:pPr>
        <w:spacing w:after="0" w:line="9" w:lineRule="exact"/>
        <w:rPr>
          <w:rFonts w:ascii="Arial" w:cs="Arial" w:eastAsia="Arial" w:hAnsi="Arial"/>
          <w:sz w:val="18"/>
          <w:szCs w:val="18"/>
          <w:i w:val="1"/>
          <w:iCs w:val="1"/>
          <w:color w:val="808080"/>
        </w:rPr>
      </w:pPr>
    </w:p>
    <w:p>
      <w:pPr>
        <w:ind w:left="660" w:hanging="328"/>
        <w:spacing w:after="0" w:line="250" w:lineRule="auto"/>
        <w:tabs>
          <w:tab w:leader="none" w:pos="655" w:val="left"/>
        </w:tabs>
        <w:numPr>
          <w:ilvl w:val="0"/>
          <w:numId w:val="14"/>
        </w:numPr>
        <w:rPr>
          <w:rFonts w:ascii="Arial" w:cs="Arial" w:eastAsia="Arial" w:hAnsi="Arial"/>
          <w:sz w:val="18"/>
          <w:szCs w:val="18"/>
          <w:i w:val="1"/>
          <w:iCs w:val="1"/>
          <w:color w:val="808080"/>
        </w:rPr>
      </w:pPr>
      <w:r>
        <w:rPr>
          <w:rFonts w:ascii="Arial" w:cs="Arial" w:eastAsia="Arial" w:hAnsi="Arial"/>
          <w:sz w:val="18"/>
          <w:szCs w:val="18"/>
          <w:i w:val="1"/>
          <w:iCs w:val="1"/>
          <w:color w:val="808080"/>
        </w:rPr>
        <w:t>demand for our products and services, which is affected by changes in the price of, and demand for, crude oil and natural gas in domestic and international markets;</w:t>
      </w:r>
    </w:p>
    <w:p>
      <w:pPr>
        <w:ind w:left="660" w:hanging="328"/>
        <w:spacing w:after="0" w:line="250" w:lineRule="auto"/>
        <w:tabs>
          <w:tab w:leader="none" w:pos="655" w:val="left"/>
        </w:tabs>
        <w:numPr>
          <w:ilvl w:val="0"/>
          <w:numId w:val="14"/>
        </w:numPr>
        <w:rPr>
          <w:rFonts w:ascii="Arial" w:cs="Arial" w:eastAsia="Arial" w:hAnsi="Arial"/>
          <w:sz w:val="18"/>
          <w:szCs w:val="18"/>
          <w:i w:val="1"/>
          <w:iCs w:val="1"/>
          <w:color w:val="808080"/>
        </w:rPr>
      </w:pPr>
      <w:r>
        <w:rPr>
          <w:rFonts w:ascii="Arial" w:cs="Arial" w:eastAsia="Arial" w:hAnsi="Arial"/>
          <w:sz w:val="18"/>
          <w:szCs w:val="18"/>
          <w:i w:val="1"/>
          <w:iCs w:val="1"/>
          <w:color w:val="808080"/>
        </w:rPr>
        <w:t>our ability to develop and implement new technologies and services, as well as our ability to protect and maintain critical intellectual property assets;</w:t>
      </w:r>
    </w:p>
    <w:p>
      <w:pPr>
        <w:ind w:left="660" w:hanging="328"/>
        <w:spacing w:after="0"/>
        <w:tabs>
          <w:tab w:leader="none" w:pos="660" w:val="left"/>
        </w:tabs>
        <w:numPr>
          <w:ilvl w:val="0"/>
          <w:numId w:val="14"/>
        </w:numPr>
        <w:rPr>
          <w:rFonts w:ascii="Arial" w:cs="Arial" w:eastAsia="Arial" w:hAnsi="Arial"/>
          <w:sz w:val="18"/>
          <w:szCs w:val="18"/>
          <w:i w:val="1"/>
          <w:iCs w:val="1"/>
          <w:color w:val="808080"/>
        </w:rPr>
      </w:pPr>
      <w:r>
        <w:rPr>
          <w:rFonts w:ascii="Arial" w:cs="Arial" w:eastAsia="Arial" w:hAnsi="Arial"/>
          <w:sz w:val="18"/>
          <w:szCs w:val="18"/>
          <w:i w:val="1"/>
          <w:iCs w:val="1"/>
          <w:color w:val="808080"/>
        </w:rPr>
        <w:t>potential liabilities arising out of the installation or use of our products;</w:t>
      </w:r>
    </w:p>
    <w:p>
      <w:pPr>
        <w:spacing w:after="0" w:line="9" w:lineRule="exact"/>
        <w:rPr>
          <w:rFonts w:ascii="Arial" w:cs="Arial" w:eastAsia="Arial" w:hAnsi="Arial"/>
          <w:sz w:val="18"/>
          <w:szCs w:val="18"/>
          <w:i w:val="1"/>
          <w:iCs w:val="1"/>
          <w:color w:val="808080"/>
        </w:rPr>
      </w:pPr>
    </w:p>
    <w:p>
      <w:pPr>
        <w:ind w:left="660" w:hanging="328"/>
        <w:spacing w:after="0"/>
        <w:tabs>
          <w:tab w:leader="none" w:pos="660" w:val="left"/>
        </w:tabs>
        <w:numPr>
          <w:ilvl w:val="0"/>
          <w:numId w:val="14"/>
        </w:numPr>
        <w:rPr>
          <w:rFonts w:ascii="Arial" w:cs="Arial" w:eastAsia="Arial" w:hAnsi="Arial"/>
          <w:sz w:val="18"/>
          <w:szCs w:val="18"/>
          <w:i w:val="1"/>
          <w:iCs w:val="1"/>
          <w:color w:val="808080"/>
        </w:rPr>
      </w:pPr>
      <w:r>
        <w:rPr>
          <w:rFonts w:ascii="Arial" w:cs="Arial" w:eastAsia="Arial" w:hAnsi="Arial"/>
          <w:sz w:val="18"/>
          <w:szCs w:val="18"/>
          <w:i w:val="1"/>
          <w:iCs w:val="1"/>
          <w:color w:val="808080"/>
        </w:rPr>
        <w:t>cost overruns related to our fixed price contracts or capital asset construction projects that may affect revenues;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5040"/>
        <w:spacing w:after="0"/>
        <w:tabs>
          <w:tab w:leader="none" w:pos="1026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12 of 26</w:t>
      </w:r>
    </w:p>
    <w:p>
      <w:pPr>
        <w:sectPr>
          <w:pgSz w:w="11900" w:h="16838" w:orient="portrait"/>
          <w:cols w:equalWidth="0" w:num="1">
            <w:col w:w="11240"/>
          </w:cols>
          <w:pgMar w:left="320" w:top="1404" w:right="339" w:bottom="1440" w:gutter="0" w:footer="0" w:header="0"/>
        </w:sectPr>
      </w:pPr>
    </w:p>
    <w:bookmarkStart w:id="16" w:name="page17"/>
    <w:bookmarkEnd w:id="16"/>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t>our ability to timely deliver our backlog and its effect on our future sales, profitability, and our relationships with our customers;</w:t>
      </w:r>
    </w:p>
    <w:p>
      <w:pPr>
        <w:spacing w:after="0" w:line="29" w:lineRule="exact"/>
        <w:rPr>
          <w:rFonts w:ascii="Arial" w:cs="Arial" w:eastAsia="Arial" w:hAnsi="Arial"/>
          <w:sz w:val="18"/>
          <w:szCs w:val="18"/>
          <w:i w:val="1"/>
          <w:iCs w:val="1"/>
          <w:color w:val="808080"/>
        </w:rPr>
      </w:pP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our reliance on subcontractors, suppliers and joint venture partners in the performance of our contracts;</w:t>
      </w:r>
    </w:p>
    <w:p>
      <w:pPr>
        <w:spacing w:after="0" w:line="9" w:lineRule="exact"/>
        <w:rPr>
          <w:rFonts w:ascii="Arial" w:cs="Arial" w:eastAsia="Arial" w:hAnsi="Arial"/>
          <w:sz w:val="18"/>
          <w:szCs w:val="18"/>
          <w:i w:val="1"/>
          <w:iCs w:val="1"/>
          <w:color w:val="808080"/>
        </w:rPr>
      </w:pP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our ability to hire and retain key personnel;</w:t>
      </w:r>
    </w:p>
    <w:p>
      <w:pPr>
        <w:spacing w:after="0" w:line="9" w:lineRule="exact"/>
        <w:rPr>
          <w:rFonts w:ascii="Arial" w:cs="Arial" w:eastAsia="Arial" w:hAnsi="Arial"/>
          <w:sz w:val="18"/>
          <w:szCs w:val="18"/>
          <w:i w:val="1"/>
          <w:iCs w:val="1"/>
          <w:color w:val="808080"/>
        </w:rPr>
      </w:pP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piracy risks for our maritime employees and assets;</w:t>
      </w:r>
    </w:p>
    <w:p>
      <w:pPr>
        <w:spacing w:after="0" w:line="9" w:lineRule="exact"/>
        <w:rPr>
          <w:rFonts w:ascii="Arial" w:cs="Arial" w:eastAsia="Arial" w:hAnsi="Arial"/>
          <w:sz w:val="18"/>
          <w:szCs w:val="18"/>
          <w:i w:val="1"/>
          <w:iCs w:val="1"/>
          <w:color w:val="808080"/>
        </w:rPr>
      </w:pP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the potential impacts of seasonal and weather conditions;</w:t>
      </w:r>
    </w:p>
    <w:p>
      <w:pPr>
        <w:spacing w:after="0" w:line="9" w:lineRule="exact"/>
        <w:rPr>
          <w:rFonts w:ascii="Arial" w:cs="Arial" w:eastAsia="Arial" w:hAnsi="Arial"/>
          <w:sz w:val="18"/>
          <w:szCs w:val="18"/>
          <w:i w:val="1"/>
          <w:iCs w:val="1"/>
          <w:color w:val="808080"/>
        </w:rPr>
      </w:pP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the cumulative loss of major contracts or alliances;</w:t>
      </w:r>
    </w:p>
    <w:p>
      <w:pPr>
        <w:spacing w:after="0" w:line="9" w:lineRule="exact"/>
        <w:rPr>
          <w:rFonts w:ascii="Arial" w:cs="Arial" w:eastAsia="Arial" w:hAnsi="Arial"/>
          <w:sz w:val="18"/>
          <w:szCs w:val="18"/>
          <w:i w:val="1"/>
          <w:iCs w:val="1"/>
          <w:color w:val="808080"/>
        </w:rPr>
      </w:pPr>
    </w:p>
    <w:p>
      <w:pPr>
        <w:ind w:left="660" w:right="20" w:hanging="328"/>
        <w:spacing w:after="0" w:line="250" w:lineRule="auto"/>
        <w:tabs>
          <w:tab w:leader="none" w:pos="655"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U.S. and international laws and regulations, including existing or future environmental regulations, that may increase our costs, limit the demand for our products and services or restrict our operations;</w:t>
      </w: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disruptions in the political, regulatory, economic and social conditions of the countries in which we conduct business;</w:t>
      </w:r>
    </w:p>
    <w:p>
      <w:pPr>
        <w:spacing w:after="0" w:line="9" w:lineRule="exact"/>
        <w:rPr>
          <w:rFonts w:ascii="Arial" w:cs="Arial" w:eastAsia="Arial" w:hAnsi="Arial"/>
          <w:sz w:val="18"/>
          <w:szCs w:val="18"/>
          <w:i w:val="1"/>
          <w:iCs w:val="1"/>
          <w:color w:val="808080"/>
        </w:rPr>
      </w:pPr>
    </w:p>
    <w:p>
      <w:pPr>
        <w:ind w:left="660" w:hanging="328"/>
        <w:spacing w:after="0" w:line="250" w:lineRule="auto"/>
        <w:tabs>
          <w:tab w:leader="none" w:pos="655"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risks associated with The Depository Trust Company and Euroclear for clearance services for shares traded on the NYSE and Euronext Paris, respectively;</w:t>
      </w: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the United Kingdom’s withdrawal from the European Union;</w:t>
      </w:r>
    </w:p>
    <w:p>
      <w:pPr>
        <w:spacing w:after="0" w:line="9" w:lineRule="exact"/>
        <w:rPr>
          <w:rFonts w:ascii="Arial" w:cs="Arial" w:eastAsia="Arial" w:hAnsi="Arial"/>
          <w:sz w:val="18"/>
          <w:szCs w:val="18"/>
          <w:i w:val="1"/>
          <w:iCs w:val="1"/>
          <w:color w:val="808080"/>
        </w:rPr>
      </w:pPr>
    </w:p>
    <w:p>
      <w:pPr>
        <w:jc w:val="both"/>
        <w:ind w:left="660" w:hanging="328"/>
        <w:spacing w:after="0" w:line="250" w:lineRule="auto"/>
        <w:tabs>
          <w:tab w:leader="none" w:pos="655"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risks associated with being an English public limited company, including the need for “distributable profits,” shareholder approval of certain capital structure decisions, and the risk that we may not be able to pay dividends or repurchase shares in accordance with our announced capital allocation plan;</w:t>
      </w:r>
    </w:p>
    <w:p>
      <w:pPr>
        <w:spacing w:after="0" w:line="1" w:lineRule="exact"/>
        <w:rPr>
          <w:rFonts w:ascii="Arial" w:cs="Arial" w:eastAsia="Arial" w:hAnsi="Arial"/>
          <w:sz w:val="18"/>
          <w:szCs w:val="18"/>
          <w:i w:val="1"/>
          <w:iCs w:val="1"/>
          <w:color w:val="808080"/>
        </w:rPr>
      </w:pP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compliance with covenants under our debt instruments and conditions in the credit markets;</w:t>
      </w:r>
    </w:p>
    <w:p>
      <w:pPr>
        <w:spacing w:after="0" w:line="9" w:lineRule="exact"/>
        <w:rPr>
          <w:rFonts w:ascii="Arial" w:cs="Arial" w:eastAsia="Arial" w:hAnsi="Arial"/>
          <w:sz w:val="18"/>
          <w:szCs w:val="18"/>
          <w:i w:val="1"/>
          <w:iCs w:val="1"/>
          <w:color w:val="808080"/>
        </w:rPr>
      </w:pP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downgrade in the ratings of our debt could restrict our ability to access the debt capital markets;</w:t>
      </w:r>
    </w:p>
    <w:p>
      <w:pPr>
        <w:spacing w:after="0" w:line="9" w:lineRule="exact"/>
        <w:rPr>
          <w:rFonts w:ascii="Arial" w:cs="Arial" w:eastAsia="Arial" w:hAnsi="Arial"/>
          <w:sz w:val="18"/>
          <w:szCs w:val="18"/>
          <w:i w:val="1"/>
          <w:iCs w:val="1"/>
          <w:color w:val="808080"/>
        </w:rPr>
      </w:pP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the outcome of uninsured claims and litigation against us;</w:t>
      </w:r>
    </w:p>
    <w:p>
      <w:pPr>
        <w:spacing w:after="0" w:line="9" w:lineRule="exact"/>
        <w:rPr>
          <w:rFonts w:ascii="Arial" w:cs="Arial" w:eastAsia="Arial" w:hAnsi="Arial"/>
          <w:sz w:val="18"/>
          <w:szCs w:val="18"/>
          <w:i w:val="1"/>
          <w:iCs w:val="1"/>
          <w:color w:val="808080"/>
        </w:rPr>
      </w:pP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the risks of currency exchange rate fluctuations associated with our international operations;</w:t>
      </w:r>
    </w:p>
    <w:p>
      <w:pPr>
        <w:spacing w:after="0" w:line="9" w:lineRule="exact"/>
        <w:rPr>
          <w:rFonts w:ascii="Arial" w:cs="Arial" w:eastAsia="Arial" w:hAnsi="Arial"/>
          <w:sz w:val="18"/>
          <w:szCs w:val="18"/>
          <w:i w:val="1"/>
          <w:iCs w:val="1"/>
          <w:color w:val="808080"/>
        </w:rPr>
      </w:pP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risks related to our acquisition and divestiture activities;</w:t>
      </w:r>
    </w:p>
    <w:p>
      <w:pPr>
        <w:spacing w:after="0" w:line="9" w:lineRule="exact"/>
        <w:rPr>
          <w:rFonts w:ascii="Arial" w:cs="Arial" w:eastAsia="Arial" w:hAnsi="Arial"/>
          <w:sz w:val="18"/>
          <w:szCs w:val="18"/>
          <w:i w:val="1"/>
          <w:iCs w:val="1"/>
          <w:color w:val="808080"/>
        </w:rPr>
      </w:pPr>
    </w:p>
    <w:p>
      <w:pPr>
        <w:ind w:left="660" w:right="20" w:hanging="328"/>
        <w:spacing w:after="0" w:line="250" w:lineRule="auto"/>
        <w:tabs>
          <w:tab w:leader="none" w:pos="655"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failure of our information technology infrastructure or any significant breach of security, including related to cyber attacks, and actual or perceived failure to comply with data security and privacy obligations;</w:t>
      </w:r>
    </w:p>
    <w:p>
      <w:pPr>
        <w:ind w:left="660" w:hanging="328"/>
        <w:spacing w:after="0"/>
        <w:tabs>
          <w:tab w:leader="none" w:pos="660"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risks associated with tax liabilities, changes in U.S. federal or international tax laws or interpretations to which they are subject; and</w:t>
      </w:r>
    </w:p>
    <w:p>
      <w:pPr>
        <w:spacing w:after="0" w:line="9" w:lineRule="exact"/>
        <w:rPr>
          <w:rFonts w:ascii="Arial" w:cs="Arial" w:eastAsia="Arial" w:hAnsi="Arial"/>
          <w:sz w:val="18"/>
          <w:szCs w:val="18"/>
          <w:i w:val="1"/>
          <w:iCs w:val="1"/>
          <w:color w:val="808080"/>
        </w:rPr>
      </w:pPr>
    </w:p>
    <w:p>
      <w:pPr>
        <w:ind w:left="660" w:hanging="328"/>
        <w:spacing w:after="0" w:line="266" w:lineRule="auto"/>
        <w:tabs>
          <w:tab w:leader="none" w:pos="655" w:val="left"/>
        </w:tabs>
        <w:numPr>
          <w:ilvl w:val="0"/>
          <w:numId w:val="15"/>
        </w:numPr>
        <w:rPr>
          <w:rFonts w:ascii="Arial" w:cs="Arial" w:eastAsia="Arial" w:hAnsi="Arial"/>
          <w:sz w:val="18"/>
          <w:szCs w:val="18"/>
          <w:i w:val="1"/>
          <w:iCs w:val="1"/>
          <w:color w:val="808080"/>
        </w:rPr>
      </w:pPr>
      <w:r>
        <w:rPr>
          <w:rFonts w:ascii="Arial" w:cs="Arial" w:eastAsia="Arial" w:hAnsi="Arial"/>
          <w:sz w:val="18"/>
          <w:szCs w:val="18"/>
          <w:i w:val="1"/>
          <w:iCs w:val="1"/>
          <w:color w:val="808080"/>
        </w:rPr>
        <w:t>such other risk factors as set forth in our filings with the U.S. Securities and Exchange Commission and in our filings with the Autorité des marchés financiers or the U.K. Financial Conduct Authority.</w:t>
      </w:r>
    </w:p>
    <w:p>
      <w:pPr>
        <w:spacing w:after="0" w:line="196" w:lineRule="exact"/>
        <w:rPr>
          <w:sz w:val="20"/>
          <w:szCs w:val="20"/>
          <w:color w:val="auto"/>
        </w:rPr>
      </w:pPr>
    </w:p>
    <w:p>
      <w:pPr>
        <w:jc w:val="both"/>
        <w:spacing w:after="0" w:line="270" w:lineRule="auto"/>
        <w:rPr>
          <w:sz w:val="20"/>
          <w:szCs w:val="20"/>
          <w:color w:val="auto"/>
        </w:rPr>
      </w:pPr>
      <w:r>
        <w:rPr>
          <w:rFonts w:ascii="Arial" w:cs="Arial" w:eastAsia="Arial" w:hAnsi="Arial"/>
          <w:sz w:val="18"/>
          <w:szCs w:val="18"/>
          <w:i w:val="1"/>
          <w:iCs w:val="1"/>
          <w:color w:val="808080"/>
        </w:rPr>
        <w:t>We caution you not to place undue reliance on any forward-looking statements, which speak only as of the date hereof. We undertake no obligation to publicly update or revise any of our forward-looking statements after the date they are made, whether as a result of new information, future events or otherwise, except to the extent required by law.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5040"/>
        <w:spacing w:after="0"/>
        <w:tabs>
          <w:tab w:leader="none" w:pos="1026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13 of 26</w:t>
      </w:r>
    </w:p>
    <w:p>
      <w:pPr>
        <w:sectPr>
          <w:pgSz w:w="11900" w:h="16838" w:orient="portrait"/>
          <w:cols w:equalWidth="0" w:num="1">
            <w:col w:w="11240"/>
          </w:cols>
          <w:pgMar w:left="320" w:top="1415" w:right="339" w:bottom="1440" w:gutter="0" w:footer="0" w:header="0"/>
        </w:sectPr>
      </w:pPr>
    </w:p>
    <w:bookmarkStart w:id="17" w:name="page18"/>
    <w:bookmarkEnd w:id="17"/>
    <w:p>
      <w:pP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2777490" cy="53149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clrChange>
                        <a:clrFrom>
                          <a:srgbClr val="FFFFFF"/>
                        </a:clrFrom>
                        <a:clrTo>
                          <a:srgbClr val="FFFFFF">
                            <a:alpha val="0"/>
                          </a:srgbClr>
                        </a:clrTo>
                      </a:clrChange>
                      <a:extLst>
                        <a:ext uri="{28A0092B-C50C-407E-A947-70E740481C1C}"/>
                      </a:extLst>
                    </a:blip>
                    <a:srcRect/>
                    <a:stretch>
                      <a:fillRect/>
                    </a:stretch>
                  </pic:blipFill>
                  <pic:spPr bwMode="auto">
                    <a:xfrm>
                      <a:off x="0" y="0"/>
                      <a:ext cx="2777490" cy="531495"/>
                    </a:xfrm>
                    <a:prstGeom prst="rect">
                      <a:avLst/>
                    </a:prstGeom>
                    <a:noFill/>
                  </pic:spPr>
                </pic:pic>
              </a:graphicData>
            </a:graphic>
          </wp:anchor>
        </w:drawing>
        <w:t>Contacts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4200" w:type="dxa"/>
            <w:vAlign w:val="bottom"/>
            <w:gridSpan w:val="4"/>
          </w:tcPr>
          <w:p>
            <w:pPr>
              <w:spacing w:after="0"/>
              <w:rPr>
                <w:sz w:val="20"/>
                <w:szCs w:val="20"/>
                <w:color w:val="auto"/>
              </w:rPr>
            </w:pPr>
            <w:r>
              <w:rPr>
                <w:rFonts w:ascii="Arial" w:cs="Arial" w:eastAsia="Arial" w:hAnsi="Arial"/>
                <w:sz w:val="20"/>
                <w:szCs w:val="20"/>
                <w:b w:val="1"/>
                <w:bCs w:val="1"/>
                <w:color w:val="auto"/>
              </w:rPr>
              <w:t>Investor relations</w:t>
            </w:r>
          </w:p>
        </w:tc>
        <w:tc>
          <w:tcPr>
            <w:tcW w:w="5040" w:type="dxa"/>
            <w:vAlign w:val="bottom"/>
            <w:gridSpan w:val="4"/>
          </w:tcPr>
          <w:p>
            <w:pPr>
              <w:ind w:left="1040"/>
              <w:spacing w:after="0"/>
              <w:rPr>
                <w:sz w:val="20"/>
                <w:szCs w:val="20"/>
                <w:color w:val="auto"/>
              </w:rPr>
            </w:pPr>
            <w:r>
              <w:rPr>
                <w:rFonts w:ascii="Arial" w:cs="Arial" w:eastAsia="Arial" w:hAnsi="Arial"/>
                <w:sz w:val="20"/>
                <w:szCs w:val="20"/>
                <w:b w:val="1"/>
                <w:bCs w:val="1"/>
                <w:color w:val="auto"/>
              </w:rPr>
              <w:t>Media relations</w:t>
            </w:r>
          </w:p>
        </w:tc>
      </w:tr>
      <w:tr>
        <w:trPr>
          <w:trHeight w:val="358"/>
        </w:trPr>
        <w:tc>
          <w:tcPr>
            <w:tcW w:w="4200" w:type="dxa"/>
            <w:vAlign w:val="bottom"/>
            <w:gridSpan w:val="4"/>
          </w:tcPr>
          <w:p>
            <w:pPr>
              <w:spacing w:after="0"/>
              <w:rPr>
                <w:sz w:val="20"/>
                <w:szCs w:val="20"/>
                <w:color w:val="auto"/>
              </w:rPr>
            </w:pPr>
            <w:r>
              <w:rPr>
                <w:rFonts w:ascii="Arial" w:cs="Arial" w:eastAsia="Arial" w:hAnsi="Arial"/>
                <w:sz w:val="20"/>
                <w:szCs w:val="20"/>
                <w:color w:val="auto"/>
              </w:rPr>
              <w:t>Matt Seinsheimer</w:t>
            </w:r>
          </w:p>
        </w:tc>
        <w:tc>
          <w:tcPr>
            <w:tcW w:w="5040" w:type="dxa"/>
            <w:vAlign w:val="bottom"/>
            <w:gridSpan w:val="4"/>
          </w:tcPr>
          <w:p>
            <w:pPr>
              <w:ind w:left="1040"/>
              <w:spacing w:after="0"/>
              <w:rPr>
                <w:sz w:val="20"/>
                <w:szCs w:val="20"/>
                <w:color w:val="auto"/>
              </w:rPr>
            </w:pPr>
            <w:r>
              <w:rPr>
                <w:rFonts w:ascii="Arial" w:cs="Arial" w:eastAsia="Arial" w:hAnsi="Arial"/>
                <w:sz w:val="20"/>
                <w:szCs w:val="20"/>
                <w:color w:val="auto"/>
              </w:rPr>
              <w:t>Christophe Bélorgeot</w:t>
            </w:r>
          </w:p>
        </w:tc>
      </w:tr>
      <w:tr>
        <w:trPr>
          <w:trHeight w:val="189"/>
        </w:trPr>
        <w:tc>
          <w:tcPr>
            <w:tcW w:w="4200" w:type="dxa"/>
            <w:vAlign w:val="bottom"/>
            <w:gridSpan w:val="4"/>
          </w:tcPr>
          <w:p>
            <w:pPr>
              <w:spacing w:after="0" w:line="189" w:lineRule="exact"/>
              <w:rPr>
                <w:sz w:val="20"/>
                <w:szCs w:val="20"/>
                <w:color w:val="auto"/>
              </w:rPr>
            </w:pPr>
            <w:r>
              <w:rPr>
                <w:rFonts w:ascii="Arial" w:cs="Arial" w:eastAsia="Arial" w:hAnsi="Arial"/>
                <w:sz w:val="20"/>
                <w:szCs w:val="20"/>
                <w:color w:val="auto"/>
              </w:rPr>
              <w:t>Vice President Investor Relations</w:t>
            </w:r>
          </w:p>
        </w:tc>
        <w:tc>
          <w:tcPr>
            <w:tcW w:w="5040" w:type="dxa"/>
            <w:vAlign w:val="bottom"/>
            <w:gridSpan w:val="4"/>
          </w:tcPr>
          <w:p>
            <w:pPr>
              <w:ind w:left="1040"/>
              <w:spacing w:after="0" w:line="189" w:lineRule="exact"/>
              <w:rPr>
                <w:sz w:val="20"/>
                <w:szCs w:val="20"/>
                <w:color w:val="auto"/>
              </w:rPr>
            </w:pPr>
            <w:r>
              <w:rPr>
                <w:rFonts w:ascii="Arial" w:cs="Arial" w:eastAsia="Arial" w:hAnsi="Arial"/>
                <w:sz w:val="20"/>
                <w:szCs w:val="20"/>
                <w:color w:val="auto"/>
                <w:w w:val="98"/>
              </w:rPr>
              <w:t>Senior Vice President Corporate Engagement</w:t>
            </w:r>
          </w:p>
        </w:tc>
      </w:tr>
      <w:tr>
        <w:trPr>
          <w:trHeight w:val="189"/>
        </w:trPr>
        <w:tc>
          <w:tcPr>
            <w:tcW w:w="4200" w:type="dxa"/>
            <w:vAlign w:val="bottom"/>
            <w:gridSpan w:val="4"/>
          </w:tcPr>
          <w:p>
            <w:pPr>
              <w:spacing w:after="0" w:line="189" w:lineRule="exact"/>
              <w:rPr>
                <w:sz w:val="20"/>
                <w:szCs w:val="20"/>
                <w:color w:val="auto"/>
              </w:rPr>
            </w:pPr>
            <w:r>
              <w:rPr>
                <w:rFonts w:ascii="Arial" w:cs="Arial" w:eastAsia="Arial" w:hAnsi="Arial"/>
                <w:sz w:val="20"/>
                <w:szCs w:val="20"/>
                <w:color w:val="auto"/>
              </w:rPr>
              <w:t>Tel: +1 281 260 3665</w:t>
            </w:r>
          </w:p>
        </w:tc>
        <w:tc>
          <w:tcPr>
            <w:tcW w:w="5040" w:type="dxa"/>
            <w:vAlign w:val="bottom"/>
            <w:gridSpan w:val="4"/>
          </w:tcPr>
          <w:p>
            <w:pPr>
              <w:ind w:left="1040"/>
              <w:spacing w:after="0" w:line="189" w:lineRule="exact"/>
              <w:rPr>
                <w:sz w:val="20"/>
                <w:szCs w:val="20"/>
                <w:color w:val="auto"/>
              </w:rPr>
            </w:pPr>
            <w:r>
              <w:rPr>
                <w:rFonts w:ascii="Arial" w:cs="Arial" w:eastAsia="Arial" w:hAnsi="Arial"/>
                <w:sz w:val="20"/>
                <w:szCs w:val="20"/>
                <w:color w:val="auto"/>
              </w:rPr>
              <w:t>Tel: +33 1 47 78 39 92</w:t>
            </w:r>
          </w:p>
        </w:tc>
      </w:tr>
      <w:tr>
        <w:trPr>
          <w:trHeight w:val="203"/>
        </w:trPr>
        <w:tc>
          <w:tcPr>
            <w:tcW w:w="4200" w:type="dxa"/>
            <w:vAlign w:val="bottom"/>
            <w:gridSpan w:val="4"/>
          </w:tcPr>
          <w:p>
            <w:pPr>
              <w:spacing w:after="0" w:line="203" w:lineRule="exact"/>
              <w:rPr>
                <w:sz w:val="20"/>
                <w:szCs w:val="20"/>
                <w:color w:val="auto"/>
              </w:rPr>
            </w:pPr>
            <w:r>
              <w:rPr>
                <w:rFonts w:ascii="Arial" w:cs="Arial" w:eastAsia="Arial" w:hAnsi="Arial"/>
                <w:sz w:val="20"/>
                <w:szCs w:val="20"/>
                <w:color w:val="auto"/>
              </w:rPr>
              <w:t xml:space="preserve">Email: </w:t>
            </w:r>
            <w:r>
              <w:rPr>
                <w:rFonts w:ascii="Arial" w:cs="Arial" w:eastAsia="Arial" w:hAnsi="Arial"/>
                <w:sz w:val="20"/>
                <w:szCs w:val="20"/>
                <w:color w:val="3051F2"/>
              </w:rPr>
              <w:t>Matt Seinsheimer</w:t>
            </w:r>
          </w:p>
        </w:tc>
        <w:tc>
          <w:tcPr>
            <w:tcW w:w="5040" w:type="dxa"/>
            <w:vAlign w:val="bottom"/>
            <w:gridSpan w:val="4"/>
          </w:tcPr>
          <w:p>
            <w:pPr>
              <w:ind w:left="1040"/>
              <w:spacing w:after="0" w:line="203" w:lineRule="exact"/>
              <w:rPr>
                <w:sz w:val="20"/>
                <w:szCs w:val="20"/>
                <w:color w:val="auto"/>
              </w:rPr>
            </w:pPr>
            <w:r>
              <w:rPr>
                <w:rFonts w:ascii="Arial" w:cs="Arial" w:eastAsia="Arial" w:hAnsi="Arial"/>
                <w:sz w:val="20"/>
                <w:szCs w:val="20"/>
                <w:color w:val="auto"/>
              </w:rPr>
              <w:t xml:space="preserve">Email: </w:t>
            </w:r>
            <w:r>
              <w:rPr>
                <w:rFonts w:ascii="Arial" w:cs="Arial" w:eastAsia="Arial" w:hAnsi="Arial"/>
                <w:sz w:val="20"/>
                <w:szCs w:val="20"/>
                <w:color w:val="3051F2"/>
              </w:rPr>
              <w:t>Christophe Belorgeot</w:t>
            </w:r>
          </w:p>
        </w:tc>
      </w:tr>
      <w:tr>
        <w:trPr>
          <w:trHeight w:val="20"/>
        </w:trPr>
        <w:tc>
          <w:tcPr>
            <w:tcW w:w="620" w:type="dxa"/>
            <w:vAlign w:val="bottom"/>
          </w:tcPr>
          <w:p>
            <w:pPr>
              <w:spacing w:after="0" w:line="20" w:lineRule="exact"/>
              <w:rPr>
                <w:sz w:val="1"/>
                <w:szCs w:val="1"/>
                <w:color w:val="auto"/>
              </w:rPr>
            </w:pPr>
          </w:p>
        </w:tc>
        <w:tc>
          <w:tcPr>
            <w:tcW w:w="1260" w:type="dxa"/>
            <w:vAlign w:val="bottom"/>
            <w:shd w:val="clear" w:color="auto" w:fill="3051F2"/>
          </w:tcPr>
          <w:p>
            <w:pPr>
              <w:spacing w:after="0" w:line="20" w:lineRule="exact"/>
              <w:rPr>
                <w:sz w:val="1"/>
                <w:szCs w:val="1"/>
                <w:color w:val="auto"/>
              </w:rPr>
            </w:pPr>
          </w:p>
        </w:tc>
        <w:tc>
          <w:tcPr>
            <w:tcW w:w="260" w:type="dxa"/>
            <w:vAlign w:val="bottom"/>
            <w:shd w:val="clear" w:color="auto" w:fill="3051F2"/>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580" w:type="dxa"/>
            <w:vAlign w:val="bottom"/>
            <w:shd w:val="clear" w:color="auto" w:fill="3051F2"/>
          </w:tcPr>
          <w:p>
            <w:pPr>
              <w:spacing w:after="0" w:line="20" w:lineRule="exact"/>
              <w:rPr>
                <w:sz w:val="1"/>
                <w:szCs w:val="1"/>
                <w:color w:val="auto"/>
              </w:rPr>
            </w:pPr>
          </w:p>
        </w:tc>
        <w:tc>
          <w:tcPr>
            <w:tcW w:w="280" w:type="dxa"/>
            <w:vAlign w:val="bottom"/>
            <w:shd w:val="clear" w:color="auto" w:fill="3051F2"/>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r>
      <w:tr>
        <w:trPr>
          <w:trHeight w:val="398"/>
        </w:trPr>
        <w:tc>
          <w:tcPr>
            <w:tcW w:w="4200" w:type="dxa"/>
            <w:vAlign w:val="bottom"/>
            <w:gridSpan w:val="4"/>
          </w:tcPr>
          <w:p>
            <w:pPr>
              <w:spacing w:after="0"/>
              <w:rPr>
                <w:sz w:val="20"/>
                <w:szCs w:val="20"/>
                <w:color w:val="auto"/>
              </w:rPr>
            </w:pPr>
            <w:r>
              <w:rPr>
                <w:rFonts w:ascii="Arial" w:cs="Arial" w:eastAsia="Arial" w:hAnsi="Arial"/>
                <w:sz w:val="20"/>
                <w:szCs w:val="20"/>
                <w:color w:val="auto"/>
              </w:rPr>
              <w:t>Phillip Lindsay</w:t>
            </w:r>
          </w:p>
        </w:tc>
        <w:tc>
          <w:tcPr>
            <w:tcW w:w="5040" w:type="dxa"/>
            <w:vAlign w:val="bottom"/>
            <w:gridSpan w:val="4"/>
          </w:tcPr>
          <w:p>
            <w:pPr>
              <w:ind w:left="1040"/>
              <w:spacing w:after="0"/>
              <w:rPr>
                <w:sz w:val="20"/>
                <w:szCs w:val="20"/>
                <w:color w:val="auto"/>
              </w:rPr>
            </w:pPr>
            <w:r>
              <w:rPr>
                <w:rFonts w:ascii="Arial" w:cs="Arial" w:eastAsia="Arial" w:hAnsi="Arial"/>
                <w:sz w:val="20"/>
                <w:szCs w:val="20"/>
                <w:color w:val="auto"/>
              </w:rPr>
              <w:t>Brooke Robertson</w:t>
            </w:r>
          </w:p>
        </w:tc>
      </w:tr>
      <w:tr>
        <w:trPr>
          <w:trHeight w:val="189"/>
        </w:trPr>
        <w:tc>
          <w:tcPr>
            <w:tcW w:w="4200" w:type="dxa"/>
            <w:vAlign w:val="bottom"/>
            <w:gridSpan w:val="4"/>
          </w:tcPr>
          <w:p>
            <w:pPr>
              <w:spacing w:after="0" w:line="189" w:lineRule="exact"/>
              <w:rPr>
                <w:sz w:val="20"/>
                <w:szCs w:val="20"/>
                <w:color w:val="auto"/>
              </w:rPr>
            </w:pPr>
            <w:r>
              <w:rPr>
                <w:rFonts w:ascii="Arial" w:cs="Arial" w:eastAsia="Arial" w:hAnsi="Arial"/>
                <w:sz w:val="20"/>
                <w:szCs w:val="20"/>
                <w:color w:val="auto"/>
              </w:rPr>
              <w:t>Director Investor Relations (Europe)</w:t>
            </w:r>
          </w:p>
        </w:tc>
        <w:tc>
          <w:tcPr>
            <w:tcW w:w="5040" w:type="dxa"/>
            <w:vAlign w:val="bottom"/>
            <w:gridSpan w:val="4"/>
          </w:tcPr>
          <w:p>
            <w:pPr>
              <w:ind w:left="1040"/>
              <w:spacing w:after="0" w:line="189" w:lineRule="exact"/>
              <w:rPr>
                <w:sz w:val="20"/>
                <w:szCs w:val="20"/>
                <w:color w:val="auto"/>
              </w:rPr>
            </w:pPr>
            <w:r>
              <w:rPr>
                <w:rFonts w:ascii="Arial" w:cs="Arial" w:eastAsia="Arial" w:hAnsi="Arial"/>
                <w:sz w:val="20"/>
                <w:szCs w:val="20"/>
                <w:color w:val="auto"/>
              </w:rPr>
              <w:t>Public Relations Director</w:t>
            </w:r>
          </w:p>
        </w:tc>
      </w:tr>
      <w:tr>
        <w:trPr>
          <w:trHeight w:val="189"/>
        </w:trPr>
        <w:tc>
          <w:tcPr>
            <w:tcW w:w="4200" w:type="dxa"/>
            <w:vAlign w:val="bottom"/>
            <w:gridSpan w:val="4"/>
          </w:tcPr>
          <w:p>
            <w:pPr>
              <w:spacing w:after="0" w:line="189" w:lineRule="exact"/>
              <w:rPr>
                <w:sz w:val="20"/>
                <w:szCs w:val="20"/>
                <w:color w:val="auto"/>
              </w:rPr>
            </w:pPr>
            <w:r>
              <w:rPr>
                <w:rFonts w:ascii="Arial" w:cs="Arial" w:eastAsia="Arial" w:hAnsi="Arial"/>
                <w:sz w:val="20"/>
                <w:szCs w:val="20"/>
                <w:color w:val="auto"/>
              </w:rPr>
              <w:t>Tel: +44 (0) 20 3429 3929</w:t>
            </w:r>
          </w:p>
        </w:tc>
        <w:tc>
          <w:tcPr>
            <w:tcW w:w="5040" w:type="dxa"/>
            <w:vAlign w:val="bottom"/>
            <w:gridSpan w:val="4"/>
          </w:tcPr>
          <w:p>
            <w:pPr>
              <w:ind w:left="1040"/>
              <w:spacing w:after="0" w:line="189" w:lineRule="exact"/>
              <w:rPr>
                <w:sz w:val="20"/>
                <w:szCs w:val="20"/>
                <w:color w:val="auto"/>
              </w:rPr>
            </w:pPr>
            <w:r>
              <w:rPr>
                <w:rFonts w:ascii="Arial" w:cs="Arial" w:eastAsia="Arial" w:hAnsi="Arial"/>
                <w:sz w:val="20"/>
                <w:szCs w:val="20"/>
                <w:color w:val="auto"/>
              </w:rPr>
              <w:t>Tel: +1 281 591 4108</w:t>
            </w:r>
          </w:p>
        </w:tc>
      </w:tr>
      <w:tr>
        <w:trPr>
          <w:trHeight w:val="203"/>
        </w:trPr>
        <w:tc>
          <w:tcPr>
            <w:tcW w:w="4200" w:type="dxa"/>
            <w:vAlign w:val="bottom"/>
            <w:gridSpan w:val="4"/>
          </w:tcPr>
          <w:p>
            <w:pPr>
              <w:spacing w:after="0" w:line="203" w:lineRule="exact"/>
              <w:rPr>
                <w:sz w:val="20"/>
                <w:szCs w:val="20"/>
                <w:color w:val="auto"/>
              </w:rPr>
            </w:pPr>
            <w:r>
              <w:rPr>
                <w:rFonts w:ascii="Arial" w:cs="Arial" w:eastAsia="Arial" w:hAnsi="Arial"/>
                <w:sz w:val="20"/>
                <w:szCs w:val="20"/>
                <w:color w:val="auto"/>
              </w:rPr>
              <w:t xml:space="preserve">Email: </w:t>
            </w:r>
            <w:r>
              <w:rPr>
                <w:rFonts w:ascii="Arial" w:cs="Arial" w:eastAsia="Arial" w:hAnsi="Arial"/>
                <w:sz w:val="20"/>
                <w:szCs w:val="20"/>
                <w:color w:val="3051F2"/>
              </w:rPr>
              <w:t>Phillip Lindsay</w:t>
            </w:r>
          </w:p>
        </w:tc>
        <w:tc>
          <w:tcPr>
            <w:tcW w:w="5040" w:type="dxa"/>
            <w:vAlign w:val="bottom"/>
            <w:gridSpan w:val="4"/>
          </w:tcPr>
          <w:p>
            <w:pPr>
              <w:ind w:left="1040"/>
              <w:spacing w:after="0" w:line="203" w:lineRule="exact"/>
              <w:rPr>
                <w:sz w:val="20"/>
                <w:szCs w:val="20"/>
                <w:color w:val="auto"/>
              </w:rPr>
            </w:pPr>
            <w:r>
              <w:rPr>
                <w:rFonts w:ascii="Arial" w:cs="Arial" w:eastAsia="Arial" w:hAnsi="Arial"/>
                <w:sz w:val="20"/>
                <w:szCs w:val="20"/>
                <w:color w:val="auto"/>
              </w:rPr>
              <w:t xml:space="preserve">Email: </w:t>
            </w:r>
            <w:r>
              <w:rPr>
                <w:rFonts w:ascii="Arial" w:cs="Arial" w:eastAsia="Arial" w:hAnsi="Arial"/>
                <w:sz w:val="20"/>
                <w:szCs w:val="20"/>
                <w:color w:val="3051F2"/>
              </w:rPr>
              <w:t>Brooke Robertson</w:t>
            </w:r>
          </w:p>
        </w:tc>
      </w:tr>
      <w:tr>
        <w:trPr>
          <w:trHeight w:val="20"/>
        </w:trPr>
        <w:tc>
          <w:tcPr>
            <w:tcW w:w="620" w:type="dxa"/>
            <w:vAlign w:val="bottom"/>
          </w:tcPr>
          <w:p>
            <w:pPr>
              <w:spacing w:after="0" w:line="20" w:lineRule="exact"/>
              <w:rPr>
                <w:sz w:val="1"/>
                <w:szCs w:val="1"/>
                <w:color w:val="auto"/>
              </w:rPr>
            </w:pPr>
          </w:p>
        </w:tc>
        <w:tc>
          <w:tcPr>
            <w:tcW w:w="1260" w:type="dxa"/>
            <w:vAlign w:val="bottom"/>
            <w:shd w:val="clear" w:color="auto" w:fill="3051F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580" w:type="dxa"/>
            <w:vAlign w:val="bottom"/>
            <w:shd w:val="clear" w:color="auto" w:fill="3051F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ind w:left="5020"/>
        <w:spacing w:after="0"/>
        <w:tabs>
          <w:tab w:leader="none" w:pos="1024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14 of 26</w:t>
      </w:r>
    </w:p>
    <w:p>
      <w:pPr>
        <w:sectPr>
          <w:pgSz w:w="11900" w:h="16838" w:orient="portrait"/>
          <w:cols w:equalWidth="0" w:num="1">
            <w:col w:w="11180"/>
          </w:cols>
          <w:pgMar w:left="340" w:top="1440" w:right="379" w:bottom="1440" w:gutter="0" w:footer="0" w:header="0"/>
        </w:sectPr>
      </w:pPr>
    </w:p>
    <w:bookmarkStart w:id="18" w:name="page19"/>
    <w:bookmarkEnd w:id="18"/>
    <w:p>
      <w:pPr>
        <w:jc w:val="right"/>
        <w:spacing w:after="0"/>
        <w:rPr>
          <w:sz w:val="20"/>
          <w:szCs w:val="20"/>
          <w:color w:val="auto"/>
        </w:rPr>
      </w:pPr>
      <w:r>
        <w:rPr>
          <w:rFonts w:ascii="Times New Roman" w:cs="Times New Roman" w:eastAsia="Times New Roman" w:hAnsi="Times New Roman"/>
          <w:sz w:val="13"/>
          <w:szCs w:val="13"/>
          <w:b w:val="1"/>
          <w:bCs w:val="1"/>
          <w:color w:val="auto"/>
        </w:rPr>
        <w:t>Exhibit 1</w:t>
      </w:r>
    </w:p>
    <w:p>
      <w:pPr>
        <w:spacing w:after="0" w:line="15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u w:val="single" w:color="auto"/>
          <w:color w:val="auto"/>
        </w:rPr>
        <w:t>TECHNIPFMC PLC AND CONSOLIDATED SUBSIDIARIES</w:t>
      </w:r>
    </w:p>
    <w:p>
      <w:pPr>
        <w:spacing w:after="0" w:line="3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u w:val="single" w:color="auto"/>
          <w:color w:val="auto"/>
        </w:rPr>
        <w:t>CONDENSED CONSOLIDATED STATEMENTS OF INCOME</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(In millions, except per share data)</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6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52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780" w:type="dxa"/>
            <w:vAlign w:val="bottom"/>
            <w:tcBorders>
              <w:bottom w:val="single" w:sz="8" w:color="auto"/>
            </w:tcBorders>
            <w:gridSpan w:val="5"/>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520" w:type="dxa"/>
            <w:vAlign w:val="bottom"/>
            <w:tcBorders>
              <w:bottom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6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780" w:type="dxa"/>
            <w:vAlign w:val="bottom"/>
            <w:gridSpan w:val="5"/>
          </w:tcPr>
          <w:p>
            <w:pPr>
              <w:ind w:left="36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480" w:type="dxa"/>
            <w:vAlign w:val="bottom"/>
          </w:tcPr>
          <w:p>
            <w:pPr>
              <w:spacing w:after="0"/>
              <w:rPr>
                <w:sz w:val="20"/>
                <w:szCs w:val="20"/>
                <w:color w:val="auto"/>
              </w:rPr>
            </w:pPr>
          </w:p>
        </w:tc>
        <w:tc>
          <w:tcPr>
            <w:tcW w:w="2520" w:type="dxa"/>
            <w:vAlign w:val="bottom"/>
            <w:gridSpan w:val="4"/>
          </w:tcPr>
          <w:p>
            <w:pPr>
              <w:jc w:val="right"/>
              <w:ind w:right="631"/>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0" w:type="dxa"/>
            <w:vAlign w:val="bottom"/>
          </w:tcPr>
          <w:p>
            <w:pPr>
              <w:spacing w:after="0"/>
              <w:rPr>
                <w:sz w:val="1"/>
                <w:szCs w:val="1"/>
                <w:color w:val="auto"/>
              </w:rPr>
            </w:pPr>
          </w:p>
        </w:tc>
      </w:tr>
      <w:tr>
        <w:trPr>
          <w:trHeight w:val="270"/>
        </w:trPr>
        <w:tc>
          <w:tcPr>
            <w:tcW w:w="46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74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9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2520" w:type="dxa"/>
            <w:vAlign w:val="bottom"/>
            <w:gridSpan w:val="4"/>
          </w:tcPr>
          <w:p>
            <w:pPr>
              <w:jc w:val="right"/>
              <w:ind w:right="851"/>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6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4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96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60" w:type="dxa"/>
            <w:vAlign w:val="bottom"/>
          </w:tcPr>
          <w:p>
            <w:pPr>
              <w:jc w:val="right"/>
              <w:ind w:right="451"/>
              <w:spacing w:after="0"/>
              <w:rPr>
                <w:sz w:val="20"/>
                <w:szCs w:val="20"/>
                <w:color w:val="auto"/>
              </w:rPr>
            </w:pPr>
            <w:r>
              <w:rPr>
                <w:rFonts w:ascii="Times New Roman" w:cs="Times New Roman" w:eastAsia="Times New Roman" w:hAnsi="Times New Roman"/>
                <w:sz w:val="18"/>
                <w:szCs w:val="18"/>
                <w:b w:val="1"/>
                <w:bCs w:val="1"/>
                <w:color w:val="auto"/>
              </w:rPr>
              <w:t>2019</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39"/>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Revenue</w:t>
            </w:r>
          </w:p>
        </w:tc>
        <w:tc>
          <w:tcPr>
            <w:tcW w:w="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3,335.7</w:t>
            </w:r>
          </w:p>
        </w:tc>
        <w:tc>
          <w:tcPr>
            <w:tcW w:w="120" w:type="dxa"/>
            <w:vAlign w:val="bottom"/>
          </w:tcPr>
          <w:p>
            <w:pPr>
              <w:spacing w:after="0"/>
              <w:rPr>
                <w:sz w:val="24"/>
                <w:szCs w:val="24"/>
                <w:color w:val="auto"/>
              </w:rPr>
            </w:pPr>
          </w:p>
        </w:tc>
        <w:tc>
          <w:tcPr>
            <w:tcW w:w="50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3,335.1</w:t>
            </w:r>
          </w:p>
        </w:tc>
        <w:tc>
          <w:tcPr>
            <w:tcW w:w="100" w:type="dxa"/>
            <w:vAlign w:val="bottom"/>
          </w:tcPr>
          <w:p>
            <w:pPr>
              <w:spacing w:after="0"/>
              <w:rPr>
                <w:sz w:val="24"/>
                <w:szCs w:val="24"/>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9,624.5</w:t>
            </w:r>
          </w:p>
        </w:tc>
        <w:tc>
          <w:tcPr>
            <w:tcW w:w="120" w:type="dxa"/>
            <w:vAlign w:val="bottom"/>
          </w:tcPr>
          <w:p>
            <w:pPr>
              <w:spacing w:after="0"/>
              <w:rPr>
                <w:sz w:val="24"/>
                <w:szCs w:val="24"/>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9,682.3</w:t>
            </w:r>
          </w:p>
        </w:tc>
        <w:tc>
          <w:tcPr>
            <w:tcW w:w="0" w:type="dxa"/>
            <w:vAlign w:val="bottom"/>
          </w:tcPr>
          <w:p>
            <w:pPr>
              <w:spacing w:after="0"/>
              <w:rPr>
                <w:sz w:val="1"/>
                <w:szCs w:val="1"/>
                <w:color w:val="auto"/>
              </w:rPr>
            </w:pPr>
          </w:p>
        </w:tc>
      </w:tr>
      <w:tr>
        <w:trPr>
          <w:trHeight w:val="270"/>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Costs and expenses</w:t>
            </w:r>
          </w:p>
        </w:tc>
        <w:tc>
          <w:tcPr>
            <w:tcW w:w="4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3,255.0</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3,221.0</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12,575.7</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9,119.8</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6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80.7</w:t>
            </w: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114.1</w:t>
            </w:r>
          </w:p>
        </w:tc>
        <w:tc>
          <w:tcPr>
            <w:tcW w:w="1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(2,951.2)</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562.5</w:t>
            </w:r>
          </w:p>
        </w:tc>
        <w:tc>
          <w:tcPr>
            <w:tcW w:w="0" w:type="dxa"/>
            <w:vAlign w:val="bottom"/>
          </w:tcPr>
          <w:p>
            <w:pPr>
              <w:spacing w:after="0"/>
              <w:rPr>
                <w:sz w:val="1"/>
                <w:szCs w:val="1"/>
                <w:color w:val="auto"/>
              </w:rPr>
            </w:pPr>
          </w:p>
        </w:tc>
      </w:tr>
      <w:tr>
        <w:trPr>
          <w:trHeight w:val="432"/>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Other (expense) income, net</w:t>
            </w:r>
          </w:p>
        </w:tc>
        <w:tc>
          <w:tcPr>
            <w:tcW w:w="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40.0</w:t>
            </w: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(31.8)</w:t>
            </w: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43.6</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(102.5)</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85"/>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Income (loss) before net interest expense and income taxes</w:t>
            </w:r>
          </w:p>
        </w:tc>
        <w:tc>
          <w:tcPr>
            <w:tcW w:w="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120.7</w:t>
            </w: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82.3</w:t>
            </w: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(2,907.6)</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460.0</w:t>
            </w:r>
          </w:p>
        </w:tc>
        <w:tc>
          <w:tcPr>
            <w:tcW w:w="0" w:type="dxa"/>
            <w:vAlign w:val="bottom"/>
          </w:tcPr>
          <w:p>
            <w:pPr>
              <w:spacing w:after="0"/>
              <w:rPr>
                <w:sz w:val="1"/>
                <w:szCs w:val="1"/>
                <w:color w:val="auto"/>
              </w:rPr>
            </w:pPr>
          </w:p>
        </w:tc>
      </w:tr>
      <w:tr>
        <w:trPr>
          <w:trHeight w:val="270"/>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Net interest expense</w:t>
            </w:r>
          </w:p>
        </w:tc>
        <w:tc>
          <w:tcPr>
            <w:tcW w:w="4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(91.8)</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(116.5)</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(238.5)</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(345.3)</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85"/>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Income (loss) before income taxes</w:t>
            </w:r>
          </w:p>
        </w:tc>
        <w:tc>
          <w:tcPr>
            <w:tcW w:w="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28.9</w:t>
            </w: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(34.2)</w:t>
            </w: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(3,146.1)</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114.7</w:t>
            </w:r>
          </w:p>
        </w:tc>
        <w:tc>
          <w:tcPr>
            <w:tcW w:w="0" w:type="dxa"/>
            <w:vAlign w:val="bottom"/>
          </w:tcPr>
          <w:p>
            <w:pPr>
              <w:spacing w:after="0"/>
              <w:rPr>
                <w:sz w:val="1"/>
                <w:szCs w:val="1"/>
                <w:color w:val="auto"/>
              </w:rPr>
            </w:pPr>
          </w:p>
        </w:tc>
      </w:tr>
      <w:tr>
        <w:trPr>
          <w:trHeight w:val="270"/>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4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22.5</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81.1</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77.9</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96.5</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85"/>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Net income (loss)</w:t>
            </w:r>
          </w:p>
        </w:tc>
        <w:tc>
          <w:tcPr>
            <w:tcW w:w="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(115.3)</w:t>
            </w: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(3,224.0)</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18.2</w:t>
            </w:r>
          </w:p>
        </w:tc>
        <w:tc>
          <w:tcPr>
            <w:tcW w:w="0" w:type="dxa"/>
            <w:vAlign w:val="bottom"/>
          </w:tcPr>
          <w:p>
            <w:pPr>
              <w:spacing w:after="0"/>
              <w:rPr>
                <w:sz w:val="1"/>
                <w:szCs w:val="1"/>
                <w:color w:val="auto"/>
              </w:rPr>
            </w:pPr>
          </w:p>
        </w:tc>
      </w:tr>
      <w:tr>
        <w:trPr>
          <w:trHeight w:val="270"/>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Net income attributable to non-controlling interests</w:t>
            </w:r>
          </w:p>
        </w:tc>
        <w:tc>
          <w:tcPr>
            <w:tcW w:w="4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(24.3)</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(19.4)</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12"/>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Net loss attributable to TechnipFMC plc</w:t>
            </w:r>
          </w:p>
        </w:tc>
        <w:tc>
          <w:tcPr>
            <w:tcW w:w="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120" w:type="dxa"/>
            <w:vAlign w:val="bottom"/>
          </w:tcPr>
          <w:p>
            <w:pPr>
              <w:spacing w:after="0"/>
              <w:rPr>
                <w:sz w:val="24"/>
                <w:szCs w:val="24"/>
                <w:color w:val="auto"/>
              </w:rPr>
            </w:pPr>
          </w:p>
        </w:tc>
        <w:tc>
          <w:tcPr>
            <w:tcW w:w="50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(119.1)</w:t>
            </w:r>
          </w:p>
        </w:tc>
        <w:tc>
          <w:tcPr>
            <w:tcW w:w="100" w:type="dxa"/>
            <w:vAlign w:val="bottom"/>
          </w:tcPr>
          <w:p>
            <w:pPr>
              <w:spacing w:after="0"/>
              <w:rPr>
                <w:sz w:val="24"/>
                <w:szCs w:val="24"/>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(3,248.3)</w:t>
            </w:r>
          </w:p>
        </w:tc>
        <w:tc>
          <w:tcPr>
            <w:tcW w:w="120" w:type="dxa"/>
            <w:vAlign w:val="bottom"/>
          </w:tcPr>
          <w:p>
            <w:pPr>
              <w:spacing w:after="0"/>
              <w:rPr>
                <w:sz w:val="24"/>
                <w:szCs w:val="24"/>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0" w:type="dxa"/>
            <w:vAlign w:val="bottom"/>
          </w:tcPr>
          <w:p>
            <w:pPr>
              <w:spacing w:after="0"/>
              <w:rPr>
                <w:sz w:val="1"/>
                <w:szCs w:val="1"/>
                <w:color w:val="auto"/>
              </w:rPr>
            </w:pPr>
          </w:p>
        </w:tc>
      </w:tr>
      <w:tr>
        <w:trPr>
          <w:trHeight w:val="20"/>
        </w:trPr>
        <w:tc>
          <w:tcPr>
            <w:tcW w:w="46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Income (loss) per share attributable to TechnipFMC plc:</w:t>
            </w:r>
          </w:p>
        </w:tc>
        <w:tc>
          <w:tcPr>
            <w:tcW w:w="4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25"/>
        </w:trPr>
        <w:tc>
          <w:tcPr>
            <w:tcW w:w="4640" w:type="dxa"/>
            <w:vAlign w:val="bottom"/>
            <w:vMerge w:val="continue"/>
          </w:tcPr>
          <w:p>
            <w:pPr>
              <w:spacing w:after="0"/>
              <w:rPr>
                <w:sz w:val="24"/>
                <w:szCs w:val="24"/>
                <w:color w:val="auto"/>
              </w:rPr>
            </w:pPr>
          </w:p>
        </w:tc>
        <w:tc>
          <w:tcPr>
            <w:tcW w:w="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4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Basic</w:t>
            </w:r>
          </w:p>
        </w:tc>
        <w:tc>
          <w:tcPr>
            <w:tcW w:w="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120" w:type="dxa"/>
            <w:vAlign w:val="bottom"/>
          </w:tcPr>
          <w:p>
            <w:pPr>
              <w:spacing w:after="0"/>
              <w:rPr>
                <w:sz w:val="23"/>
                <w:szCs w:val="23"/>
                <w:color w:val="auto"/>
              </w:rPr>
            </w:pPr>
          </w:p>
        </w:tc>
        <w:tc>
          <w:tcPr>
            <w:tcW w:w="50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(0.27)</w:t>
            </w:r>
          </w:p>
        </w:tc>
        <w:tc>
          <w:tcPr>
            <w:tcW w:w="100" w:type="dxa"/>
            <w:vAlign w:val="bottom"/>
          </w:tcPr>
          <w:p>
            <w:pPr>
              <w:spacing w:after="0"/>
              <w:rPr>
                <w:sz w:val="23"/>
                <w:szCs w:val="23"/>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(7.24)</w:t>
            </w:r>
          </w:p>
        </w:tc>
        <w:tc>
          <w:tcPr>
            <w:tcW w:w="120" w:type="dxa"/>
            <w:vAlign w:val="bottom"/>
          </w:tcPr>
          <w:p>
            <w:pPr>
              <w:spacing w:after="0"/>
              <w:rPr>
                <w:sz w:val="23"/>
                <w:szCs w:val="23"/>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0"/>
        </w:trPr>
        <w:tc>
          <w:tcPr>
            <w:tcW w:w="4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Diluted</w:t>
            </w:r>
          </w:p>
        </w:tc>
        <w:tc>
          <w:tcPr>
            <w:tcW w:w="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120" w:type="dxa"/>
            <w:vAlign w:val="bottom"/>
          </w:tcPr>
          <w:p>
            <w:pPr>
              <w:spacing w:after="0"/>
              <w:rPr>
                <w:sz w:val="23"/>
                <w:szCs w:val="23"/>
                <w:color w:val="auto"/>
              </w:rPr>
            </w:pPr>
          </w:p>
        </w:tc>
        <w:tc>
          <w:tcPr>
            <w:tcW w:w="50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(0.27)</w:t>
            </w:r>
          </w:p>
        </w:tc>
        <w:tc>
          <w:tcPr>
            <w:tcW w:w="100" w:type="dxa"/>
            <w:vAlign w:val="bottom"/>
          </w:tcPr>
          <w:p>
            <w:pPr>
              <w:spacing w:after="0"/>
              <w:rPr>
                <w:sz w:val="23"/>
                <w:szCs w:val="23"/>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(7.24)</w:t>
            </w:r>
          </w:p>
        </w:tc>
        <w:tc>
          <w:tcPr>
            <w:tcW w:w="120" w:type="dxa"/>
            <w:vAlign w:val="bottom"/>
          </w:tcPr>
          <w:p>
            <w:pPr>
              <w:spacing w:after="0"/>
              <w:rPr>
                <w:sz w:val="23"/>
                <w:szCs w:val="23"/>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486"/>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Weighted average shares outstanding:</w:t>
            </w:r>
          </w:p>
        </w:tc>
        <w:tc>
          <w:tcPr>
            <w:tcW w:w="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4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Basic</w:t>
            </w:r>
          </w:p>
        </w:tc>
        <w:tc>
          <w:tcPr>
            <w:tcW w:w="4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449.4</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446.9</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448.4</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448.6</w:t>
            </w:r>
          </w:p>
        </w:tc>
        <w:tc>
          <w:tcPr>
            <w:tcW w:w="0" w:type="dxa"/>
            <w:vAlign w:val="bottom"/>
          </w:tcPr>
          <w:p>
            <w:pPr>
              <w:spacing w:after="0"/>
              <w:rPr>
                <w:sz w:val="1"/>
                <w:szCs w:val="1"/>
                <w:color w:val="auto"/>
              </w:rPr>
            </w:pPr>
          </w:p>
        </w:tc>
      </w:tr>
      <w:tr>
        <w:trPr>
          <w:trHeight w:val="270"/>
        </w:trPr>
        <w:tc>
          <w:tcPr>
            <w:tcW w:w="46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Diluted</w:t>
            </w:r>
          </w:p>
        </w:tc>
        <w:tc>
          <w:tcPr>
            <w:tcW w:w="4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449.4</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446.9</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448.4</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448.6</w:t>
            </w:r>
          </w:p>
        </w:tc>
        <w:tc>
          <w:tcPr>
            <w:tcW w:w="0" w:type="dxa"/>
            <w:vAlign w:val="bottom"/>
          </w:tcPr>
          <w:p>
            <w:pPr>
              <w:spacing w:after="0"/>
              <w:rPr>
                <w:sz w:val="1"/>
                <w:szCs w:val="1"/>
                <w:color w:val="auto"/>
              </w:rPr>
            </w:pPr>
          </w:p>
        </w:tc>
      </w:tr>
      <w:tr>
        <w:trPr>
          <w:trHeight w:val="486"/>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Cash dividends declared per share</w:t>
            </w:r>
          </w:p>
        </w:tc>
        <w:tc>
          <w:tcPr>
            <w:tcW w:w="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0.13</w:t>
            </w:r>
          </w:p>
        </w:tc>
        <w:tc>
          <w:tcPr>
            <w:tcW w:w="100" w:type="dxa"/>
            <w:vAlign w:val="bottom"/>
          </w:tcPr>
          <w:p>
            <w:pPr>
              <w:spacing w:after="0"/>
              <w:rPr>
                <w:sz w:val="24"/>
                <w:szCs w:val="24"/>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0.13</w:t>
            </w:r>
          </w:p>
        </w:tc>
        <w:tc>
          <w:tcPr>
            <w:tcW w:w="120" w:type="dxa"/>
            <w:vAlign w:val="bottom"/>
          </w:tcPr>
          <w:p>
            <w:pPr>
              <w:spacing w:after="0"/>
              <w:rPr>
                <w:sz w:val="24"/>
                <w:szCs w:val="24"/>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0.39</w:t>
            </w:r>
          </w:p>
        </w:tc>
        <w:tc>
          <w:tcPr>
            <w:tcW w:w="0" w:type="dxa"/>
            <w:vAlign w:val="bottom"/>
          </w:tcPr>
          <w:p>
            <w:pPr>
              <w:spacing w:after="0"/>
              <w:rPr>
                <w:sz w:val="1"/>
                <w:szCs w:val="1"/>
                <w:color w:val="auto"/>
              </w:rPr>
            </w:pPr>
          </w:p>
        </w:tc>
      </w:tr>
      <w:tr>
        <w:trPr>
          <w:trHeight w:val="916"/>
        </w:trPr>
        <w:tc>
          <w:tcPr>
            <w:tcW w:w="4640" w:type="dxa"/>
            <w:vAlign w:val="bottom"/>
          </w:tcPr>
          <w:p>
            <w:pPr>
              <w:spacing w:after="0"/>
              <w:rPr>
                <w:sz w:val="24"/>
                <w:szCs w:val="24"/>
                <w:color w:val="auto"/>
              </w:rPr>
            </w:pPr>
          </w:p>
        </w:tc>
        <w:tc>
          <w:tcPr>
            <w:tcW w:w="2040" w:type="dxa"/>
            <w:vAlign w:val="bottom"/>
            <w:gridSpan w:val="4"/>
          </w:tcPr>
          <w:p>
            <w:pPr>
              <w:ind w:left="380"/>
              <w:spacing w:after="0"/>
              <w:rPr>
                <w:sz w:val="20"/>
                <w:szCs w:val="20"/>
                <w:color w:val="auto"/>
              </w:rPr>
            </w:pPr>
            <w:r>
              <w:rPr>
                <w:rFonts w:ascii="Arial" w:cs="Arial" w:eastAsia="Arial" w:hAnsi="Arial"/>
                <w:sz w:val="14"/>
                <w:szCs w:val="14"/>
                <w:b w:val="1"/>
                <w:bCs w:val="1"/>
                <w:color w:val="auto"/>
              </w:rPr>
              <w:t>TechnipFMC.com</w:t>
            </w: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14"/>
                <w:szCs w:val="14"/>
                <w:b w:val="1"/>
                <w:bCs w:val="1"/>
                <w:color w:val="auto"/>
              </w:rPr>
              <w:t>Page 15 of 26</w:t>
            </w:r>
          </w:p>
        </w:tc>
        <w:tc>
          <w:tcPr>
            <w:tcW w:w="0" w:type="dxa"/>
            <w:vAlign w:val="bottom"/>
          </w:tcPr>
          <w:p>
            <w:pPr>
              <w:spacing w:after="0"/>
              <w:rPr>
                <w:sz w:val="1"/>
                <w:szCs w:val="1"/>
                <w:color w:val="auto"/>
              </w:rPr>
            </w:pPr>
          </w:p>
        </w:tc>
      </w:tr>
    </w:tbl>
    <w:p>
      <w:pPr>
        <w:sectPr>
          <w:pgSz w:w="11900" w:h="16838" w:orient="portrait"/>
          <w:cols w:equalWidth="0" w:num="1">
            <w:col w:w="11220"/>
          </w:cols>
          <w:pgMar w:left="340" w:top="1051" w:right="339" w:bottom="1440" w:gutter="0" w:footer="0" w:header="0"/>
        </w:sectPr>
      </w:pPr>
    </w:p>
    <w:bookmarkStart w:id="19" w:name="page20"/>
    <w:bookmarkEnd w:id="19"/>
    <w:p>
      <w:pPr>
        <w:jc w:val="right"/>
        <w:spacing w:after="0"/>
        <w:rPr>
          <w:sz w:val="20"/>
          <w:szCs w:val="20"/>
          <w:color w:val="auto"/>
        </w:rPr>
      </w:pPr>
      <w:r>
        <w:rPr>
          <w:rFonts w:ascii="Times New Roman" w:cs="Times New Roman" w:eastAsia="Times New Roman" w:hAnsi="Times New Roman"/>
          <w:sz w:val="13"/>
          <w:szCs w:val="13"/>
          <w:b w:val="1"/>
          <w:bCs w:val="1"/>
          <w:color w:val="auto"/>
        </w:rPr>
        <w:t>Exhibit 2</w:t>
      </w:r>
    </w:p>
    <w:p>
      <w:pPr>
        <w:spacing w:after="0" w:line="1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TECHNIPFMC PLC AND CONSOLIDATED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BUSINESS SEGMENT DATA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millions)</w:t>
      </w:r>
    </w:p>
    <w:p>
      <w:pPr>
        <w:spacing w:after="0" w:line="392" w:lineRule="exact"/>
        <w:rPr>
          <w:sz w:val="20"/>
          <w:szCs w:val="20"/>
          <w:color w:val="auto"/>
        </w:rPr>
      </w:pPr>
    </w:p>
    <w:tbl>
      <w:tblPr>
        <w:tblLayout w:type="fixed"/>
        <w:tblInd w:w="20" w:type="dxa"/>
        <w:tblCellMar>
          <w:top w:w="0" w:type="dxa"/>
          <w:left w:w="0" w:type="dxa"/>
          <w:bottom w:w="0" w:type="dxa"/>
          <w:right w:w="0" w:type="dxa"/>
        </w:tblCellMar>
      </w:tblPr>
      <w:tr>
        <w:trPr>
          <w:trHeight w:val="238"/>
        </w:trPr>
        <w:tc>
          <w:tcPr>
            <w:tcW w:w="6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52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54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780" w:type="dxa"/>
            <w:vAlign w:val="bottom"/>
            <w:tcBorders>
              <w:bottom w:val="single" w:sz="8" w:color="auto"/>
            </w:tcBorders>
            <w:gridSpan w:val="5"/>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520" w:type="dxa"/>
            <w:vAlign w:val="bottom"/>
            <w:tcBorders>
              <w:bottom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780" w:type="dxa"/>
            <w:vAlign w:val="bottom"/>
            <w:gridSpan w:val="5"/>
          </w:tcPr>
          <w:p>
            <w:pPr>
              <w:ind w:left="36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480" w:type="dxa"/>
            <w:vAlign w:val="bottom"/>
          </w:tcPr>
          <w:p>
            <w:pPr>
              <w:spacing w:after="0"/>
              <w:rPr>
                <w:sz w:val="20"/>
                <w:szCs w:val="20"/>
                <w:color w:val="auto"/>
              </w:rPr>
            </w:pPr>
          </w:p>
        </w:tc>
        <w:tc>
          <w:tcPr>
            <w:tcW w:w="2520" w:type="dxa"/>
            <w:vAlign w:val="bottom"/>
            <w:gridSpan w:val="4"/>
          </w:tcPr>
          <w:p>
            <w:pPr>
              <w:jc w:val="right"/>
              <w:ind w:right="630"/>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0" w:type="dxa"/>
            <w:vAlign w:val="bottom"/>
          </w:tcPr>
          <w:p>
            <w:pPr>
              <w:spacing w:after="0"/>
              <w:rPr>
                <w:sz w:val="1"/>
                <w:szCs w:val="1"/>
                <w:color w:val="auto"/>
              </w:rPr>
            </w:pPr>
          </w:p>
        </w:tc>
      </w:tr>
      <w:tr>
        <w:trPr>
          <w:trHeight w:val="270"/>
        </w:trPr>
        <w:tc>
          <w:tcPr>
            <w:tcW w:w="6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5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74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9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160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9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54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4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96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2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w w:val="99"/>
              </w:rPr>
              <w:t>2019</w:t>
            </w:r>
          </w:p>
        </w:tc>
        <w:tc>
          <w:tcPr>
            <w:tcW w:w="0" w:type="dxa"/>
            <w:vAlign w:val="bottom"/>
          </w:tcPr>
          <w:p>
            <w:pPr>
              <w:spacing w:after="0"/>
              <w:rPr>
                <w:sz w:val="1"/>
                <w:szCs w:val="1"/>
                <w:color w:val="auto"/>
              </w:rPr>
            </w:pPr>
          </w:p>
        </w:tc>
      </w:tr>
      <w:tr>
        <w:trPr>
          <w:trHeight w:val="27"/>
        </w:trPr>
        <w:tc>
          <w:tcPr>
            <w:tcW w:w="5120" w:type="dxa"/>
            <w:vAlign w:val="bottom"/>
            <w:gridSpan w:val="5"/>
            <w:vMerge w:val="restart"/>
          </w:tcPr>
          <w:p>
            <w:pPr>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3"/>
        </w:trPr>
        <w:tc>
          <w:tcPr>
            <w:tcW w:w="5120" w:type="dxa"/>
            <w:vAlign w:val="bottom"/>
            <w:gridSpan w:val="5"/>
            <w:vMerge w:val="continue"/>
          </w:tcPr>
          <w:p>
            <w:pPr>
              <w:spacing w:after="0"/>
              <w:rPr>
                <w:sz w:val="15"/>
                <w:szCs w:val="15"/>
                <w:color w:val="auto"/>
              </w:rPr>
            </w:pPr>
          </w:p>
        </w:tc>
        <w:tc>
          <w:tcPr>
            <w:tcW w:w="3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07"/>
        </w:trPr>
        <w:tc>
          <w:tcPr>
            <w:tcW w:w="66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Subsea</w:t>
            </w:r>
          </w:p>
        </w:tc>
        <w:tc>
          <w:tcPr>
            <w:tcW w:w="4460" w:type="dxa"/>
            <w:vAlign w:val="bottom"/>
            <w:gridSpan w:val="4"/>
          </w:tcPr>
          <w:p>
            <w:pPr>
              <w:spacing w:after="0"/>
              <w:rPr>
                <w:sz w:val="24"/>
                <w:szCs w:val="24"/>
                <w:color w:val="auto"/>
              </w:rPr>
            </w:pP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1,501.8</w:t>
            </w:r>
          </w:p>
        </w:tc>
        <w:tc>
          <w:tcPr>
            <w:tcW w:w="120" w:type="dxa"/>
            <w:vAlign w:val="bottom"/>
          </w:tcPr>
          <w:p>
            <w:pPr>
              <w:spacing w:after="0"/>
              <w:rPr>
                <w:sz w:val="24"/>
                <w:szCs w:val="24"/>
                <w:color w:val="auto"/>
              </w:rPr>
            </w:pPr>
          </w:p>
        </w:tc>
        <w:tc>
          <w:tcPr>
            <w:tcW w:w="50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1,342.2</w:t>
            </w:r>
          </w:p>
        </w:tc>
        <w:tc>
          <w:tcPr>
            <w:tcW w:w="100" w:type="dxa"/>
            <w:vAlign w:val="bottom"/>
          </w:tcPr>
          <w:p>
            <w:pPr>
              <w:spacing w:after="0"/>
              <w:rPr>
                <w:sz w:val="24"/>
                <w:szCs w:val="24"/>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4,133.4</w:t>
            </w:r>
          </w:p>
        </w:tc>
        <w:tc>
          <w:tcPr>
            <w:tcW w:w="120" w:type="dxa"/>
            <w:vAlign w:val="bottom"/>
          </w:tcPr>
          <w:p>
            <w:pPr>
              <w:spacing w:after="0"/>
              <w:rPr>
                <w:sz w:val="24"/>
                <w:szCs w:val="24"/>
                <w:color w:val="auto"/>
              </w:rPr>
            </w:pPr>
          </w:p>
        </w:tc>
        <w:tc>
          <w:tcPr>
            <w:tcW w:w="52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4,036.2</w:t>
            </w:r>
          </w:p>
        </w:tc>
        <w:tc>
          <w:tcPr>
            <w:tcW w:w="0" w:type="dxa"/>
            <w:vAlign w:val="bottom"/>
          </w:tcPr>
          <w:p>
            <w:pPr>
              <w:spacing w:after="0"/>
              <w:rPr>
                <w:sz w:val="1"/>
                <w:szCs w:val="1"/>
                <w:color w:val="auto"/>
              </w:rPr>
            </w:pPr>
          </w:p>
        </w:tc>
      </w:tr>
      <w:tr>
        <w:trPr>
          <w:trHeight w:val="270"/>
        </w:trPr>
        <w:tc>
          <w:tcPr>
            <w:tcW w:w="512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Technip Energies</w:t>
            </w: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1,608.2</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1,596.3</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4,694.2</w:t>
            </w:r>
          </w:p>
        </w:tc>
        <w:tc>
          <w:tcPr>
            <w:tcW w:w="12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4,436.4</w:t>
            </w:r>
          </w:p>
        </w:tc>
        <w:tc>
          <w:tcPr>
            <w:tcW w:w="0" w:type="dxa"/>
            <w:vAlign w:val="bottom"/>
          </w:tcPr>
          <w:p>
            <w:pPr>
              <w:spacing w:after="0"/>
              <w:rPr>
                <w:sz w:val="1"/>
                <w:szCs w:val="1"/>
                <w:color w:val="auto"/>
              </w:rPr>
            </w:pPr>
          </w:p>
        </w:tc>
      </w:tr>
      <w:tr>
        <w:trPr>
          <w:trHeight w:val="270"/>
        </w:trPr>
        <w:tc>
          <w:tcPr>
            <w:tcW w:w="512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Surface Technologies</w:t>
            </w: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225.7</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396.6</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796.9</w:t>
            </w:r>
          </w:p>
        </w:tc>
        <w:tc>
          <w:tcPr>
            <w:tcW w:w="12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1,209.7</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54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3,335.7</w:t>
            </w:r>
          </w:p>
        </w:tc>
        <w:tc>
          <w:tcPr>
            <w:tcW w:w="120" w:type="dxa"/>
            <w:vAlign w:val="bottom"/>
          </w:tcPr>
          <w:p>
            <w:pPr>
              <w:spacing w:after="0"/>
              <w:rPr>
                <w:sz w:val="20"/>
                <w:szCs w:val="20"/>
                <w:color w:val="auto"/>
              </w:rPr>
            </w:pPr>
          </w:p>
        </w:tc>
        <w:tc>
          <w:tcPr>
            <w:tcW w:w="50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3,335.1</w:t>
            </w:r>
          </w:p>
        </w:tc>
        <w:tc>
          <w:tcPr>
            <w:tcW w:w="100" w:type="dxa"/>
            <w:vAlign w:val="bottom"/>
          </w:tcPr>
          <w:p>
            <w:pPr>
              <w:spacing w:after="0"/>
              <w:rPr>
                <w:sz w:val="20"/>
                <w:szCs w:val="20"/>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9,624.5</w:t>
            </w:r>
          </w:p>
        </w:tc>
        <w:tc>
          <w:tcPr>
            <w:tcW w:w="120" w:type="dxa"/>
            <w:vAlign w:val="bottom"/>
          </w:tcPr>
          <w:p>
            <w:pPr>
              <w:spacing w:after="0"/>
              <w:rPr>
                <w:sz w:val="20"/>
                <w:szCs w:val="20"/>
                <w:color w:val="auto"/>
              </w:rPr>
            </w:pPr>
          </w:p>
        </w:tc>
        <w:tc>
          <w:tcPr>
            <w:tcW w:w="52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9,682.3</w:t>
            </w:r>
          </w:p>
        </w:tc>
        <w:tc>
          <w:tcPr>
            <w:tcW w:w="0" w:type="dxa"/>
            <w:vAlign w:val="bottom"/>
          </w:tcPr>
          <w:p>
            <w:pPr>
              <w:spacing w:after="0"/>
              <w:rPr>
                <w:sz w:val="1"/>
                <w:szCs w:val="1"/>
                <w:color w:val="auto"/>
              </w:rPr>
            </w:pPr>
          </w:p>
        </w:tc>
      </w:tr>
      <w:tr>
        <w:trPr>
          <w:trHeight w:val="27"/>
        </w:trPr>
        <w:tc>
          <w:tcPr>
            <w:tcW w:w="5120" w:type="dxa"/>
            <w:vAlign w:val="bottom"/>
            <w:gridSpan w:val="5"/>
            <w:vMerge w:val="restart"/>
          </w:tcPr>
          <w:p>
            <w:pPr>
              <w:spacing w:after="0"/>
              <w:rPr>
                <w:sz w:val="20"/>
                <w:szCs w:val="20"/>
                <w:color w:val="auto"/>
              </w:rPr>
            </w:pPr>
            <w:r>
              <w:rPr>
                <w:rFonts w:ascii="Times New Roman" w:cs="Times New Roman" w:eastAsia="Times New Roman" w:hAnsi="Times New Roman"/>
                <w:sz w:val="18"/>
                <w:szCs w:val="18"/>
                <w:b w:val="1"/>
                <w:bCs w:val="1"/>
                <w:color w:val="auto"/>
              </w:rPr>
              <w:t>Income (loss) before income taxes</w:t>
            </w: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20" w:type="dxa"/>
            <w:vAlign w:val="bottom"/>
            <w:gridSpan w:val="5"/>
            <w:vMerge w:val="continue"/>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85"/>
        </w:trPr>
        <w:tc>
          <w:tcPr>
            <w:tcW w:w="5120" w:type="dxa"/>
            <w:vAlign w:val="bottom"/>
            <w:gridSpan w:val="5"/>
            <w:vMerge w:val="continue"/>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6"/>
        </w:trPr>
        <w:tc>
          <w:tcPr>
            <w:tcW w:w="2580" w:type="dxa"/>
            <w:vAlign w:val="bottom"/>
            <w:tcBorders>
              <w:top w:val="single" w:sz="8" w:color="auto"/>
            </w:tcBorders>
            <w:gridSpan w:val="4"/>
          </w:tcPr>
          <w:p>
            <w:pPr>
              <w:spacing w:after="0"/>
              <w:rPr>
                <w:sz w:val="20"/>
                <w:szCs w:val="20"/>
                <w:color w:val="auto"/>
              </w:rPr>
            </w:pPr>
            <w:r>
              <w:rPr>
                <w:rFonts w:ascii="Times New Roman" w:cs="Times New Roman" w:eastAsia="Times New Roman" w:hAnsi="Times New Roman"/>
                <w:sz w:val="18"/>
                <w:szCs w:val="18"/>
                <w:color w:val="auto"/>
              </w:rPr>
              <w:t>Segment operating profit (loss)</w:t>
            </w:r>
          </w:p>
        </w:tc>
        <w:tc>
          <w:tcPr>
            <w:tcW w:w="2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1"/>
        </w:trPr>
        <w:tc>
          <w:tcPr>
            <w:tcW w:w="2240" w:type="dxa"/>
            <w:vAlign w:val="bottom"/>
            <w:tcBorders>
              <w:top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Subsea</w:t>
            </w:r>
          </w:p>
        </w:tc>
        <w:tc>
          <w:tcPr>
            <w:tcW w:w="2880" w:type="dxa"/>
            <w:vAlign w:val="bottom"/>
            <w:gridSpan w:val="2"/>
          </w:tcPr>
          <w:p>
            <w:pPr>
              <w:spacing w:after="0"/>
              <w:rPr>
                <w:sz w:val="24"/>
                <w:szCs w:val="24"/>
                <w:color w:val="auto"/>
              </w:rPr>
            </w:pP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20.3</w:t>
            </w:r>
          </w:p>
        </w:tc>
        <w:tc>
          <w:tcPr>
            <w:tcW w:w="120" w:type="dxa"/>
            <w:vAlign w:val="bottom"/>
          </w:tcPr>
          <w:p>
            <w:pPr>
              <w:spacing w:after="0"/>
              <w:rPr>
                <w:sz w:val="24"/>
                <w:szCs w:val="24"/>
                <w:color w:val="auto"/>
              </w:rPr>
            </w:pPr>
          </w:p>
        </w:tc>
        <w:tc>
          <w:tcPr>
            <w:tcW w:w="50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(79.6)</w:t>
            </w:r>
          </w:p>
        </w:tc>
        <w:tc>
          <w:tcPr>
            <w:tcW w:w="100" w:type="dxa"/>
            <w:vAlign w:val="bottom"/>
          </w:tcPr>
          <w:p>
            <w:pPr>
              <w:spacing w:after="0"/>
              <w:rPr>
                <w:sz w:val="24"/>
                <w:szCs w:val="24"/>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(2,806.0)</w:t>
            </w:r>
          </w:p>
        </w:tc>
        <w:tc>
          <w:tcPr>
            <w:tcW w:w="120" w:type="dxa"/>
            <w:vAlign w:val="bottom"/>
          </w:tcPr>
          <w:p>
            <w:pPr>
              <w:spacing w:after="0"/>
              <w:rPr>
                <w:sz w:val="24"/>
                <w:szCs w:val="24"/>
                <w:color w:val="auto"/>
              </w:rPr>
            </w:pPr>
          </w:p>
        </w:tc>
        <w:tc>
          <w:tcPr>
            <w:tcW w:w="52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65.0</w:t>
            </w:r>
          </w:p>
        </w:tc>
        <w:tc>
          <w:tcPr>
            <w:tcW w:w="0" w:type="dxa"/>
            <w:vAlign w:val="bottom"/>
          </w:tcPr>
          <w:p>
            <w:pPr>
              <w:spacing w:after="0"/>
              <w:rPr>
                <w:sz w:val="1"/>
                <w:szCs w:val="1"/>
                <w:color w:val="auto"/>
              </w:rPr>
            </w:pPr>
          </w:p>
        </w:tc>
      </w:tr>
      <w:tr>
        <w:trPr>
          <w:trHeight w:val="270"/>
        </w:trPr>
        <w:tc>
          <w:tcPr>
            <w:tcW w:w="512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Technip Energies</w:t>
            </w: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129.5</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284.6</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512.0</w:t>
            </w:r>
          </w:p>
        </w:tc>
        <w:tc>
          <w:tcPr>
            <w:tcW w:w="12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714.3</w:t>
            </w:r>
          </w:p>
        </w:tc>
        <w:tc>
          <w:tcPr>
            <w:tcW w:w="0" w:type="dxa"/>
            <w:vAlign w:val="bottom"/>
          </w:tcPr>
          <w:p>
            <w:pPr>
              <w:spacing w:after="0"/>
              <w:rPr>
                <w:sz w:val="1"/>
                <w:szCs w:val="1"/>
                <w:color w:val="auto"/>
              </w:rPr>
            </w:pPr>
          </w:p>
        </w:tc>
      </w:tr>
      <w:tr>
        <w:trPr>
          <w:trHeight w:val="270"/>
        </w:trPr>
        <w:tc>
          <w:tcPr>
            <w:tcW w:w="512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Surface Technologies</w:t>
            </w: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6.1</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(444.4)</w:t>
            </w:r>
          </w:p>
        </w:tc>
        <w:tc>
          <w:tcPr>
            <w:tcW w:w="12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42.1</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54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120" w:type="dxa"/>
            <w:vAlign w:val="bottom"/>
            <w:gridSpan w:val="5"/>
          </w:tcPr>
          <w:p>
            <w:pPr>
              <w:ind w:left="320"/>
              <w:spacing w:after="0"/>
              <w:rPr>
                <w:sz w:val="20"/>
                <w:szCs w:val="20"/>
                <w:color w:val="auto"/>
              </w:rPr>
            </w:pPr>
            <w:r>
              <w:rPr>
                <w:rFonts w:ascii="Times New Roman" w:cs="Times New Roman" w:eastAsia="Times New Roman" w:hAnsi="Times New Roman"/>
                <w:sz w:val="18"/>
                <w:szCs w:val="18"/>
                <w:color w:val="auto"/>
              </w:rPr>
              <w:t>Total segment operating profit (loss)</w:t>
            </w:r>
          </w:p>
        </w:tc>
        <w:tc>
          <w:tcPr>
            <w:tcW w:w="3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142.8</w:t>
            </w: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211.1</w:t>
            </w:r>
          </w:p>
        </w:tc>
        <w:tc>
          <w:tcPr>
            <w:tcW w:w="1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(2,738.4)</w:t>
            </w: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821.4</w:t>
            </w:r>
          </w:p>
        </w:tc>
        <w:tc>
          <w:tcPr>
            <w:tcW w:w="0" w:type="dxa"/>
            <w:vAlign w:val="bottom"/>
          </w:tcPr>
          <w:p>
            <w:pPr>
              <w:spacing w:after="0"/>
              <w:rPr>
                <w:sz w:val="1"/>
                <w:szCs w:val="1"/>
                <w:color w:val="auto"/>
              </w:rPr>
            </w:pPr>
          </w:p>
        </w:tc>
      </w:tr>
      <w:tr>
        <w:trPr>
          <w:trHeight w:val="27"/>
        </w:trPr>
        <w:tc>
          <w:tcPr>
            <w:tcW w:w="5120" w:type="dxa"/>
            <w:vAlign w:val="bottom"/>
            <w:gridSpan w:val="5"/>
            <w:vMerge w:val="restart"/>
          </w:tcPr>
          <w:p>
            <w:pPr>
              <w:spacing w:after="0"/>
              <w:rPr>
                <w:sz w:val="20"/>
                <w:szCs w:val="20"/>
                <w:color w:val="auto"/>
              </w:rPr>
            </w:pPr>
            <w:r>
              <w:rPr>
                <w:rFonts w:ascii="Times New Roman" w:cs="Times New Roman" w:eastAsia="Times New Roman" w:hAnsi="Times New Roman"/>
                <w:sz w:val="18"/>
                <w:szCs w:val="18"/>
                <w:color w:val="auto"/>
              </w:rPr>
              <w:t>Corporate items</w:t>
            </w: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98"/>
        </w:trPr>
        <w:tc>
          <w:tcPr>
            <w:tcW w:w="5120" w:type="dxa"/>
            <w:vAlign w:val="bottom"/>
            <w:gridSpan w:val="5"/>
            <w:vMerge w:val="continue"/>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60" w:type="dxa"/>
            <w:vAlign w:val="bottom"/>
            <w:gridSpan w:val="2"/>
            <w:shd w:val="clear" w:color="auto" w:fill="000000"/>
          </w:tcPr>
          <w:p>
            <w:pPr>
              <w:spacing w:after="0" w:line="20" w:lineRule="exact"/>
              <w:rPr>
                <w:sz w:val="1"/>
                <w:szCs w:val="1"/>
                <w:color w:val="auto"/>
              </w:rPr>
            </w:pPr>
          </w:p>
        </w:tc>
        <w:tc>
          <w:tcPr>
            <w:tcW w:w="3960" w:type="dxa"/>
            <w:vAlign w:val="bottom"/>
            <w:gridSpan w:val="3"/>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(27.7)</w:t>
            </w: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(75.6)</w:t>
            </w: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9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(125.7)</w:t>
            </w:r>
          </w:p>
        </w:tc>
        <w:tc>
          <w:tcPr>
            <w:tcW w:w="1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(278.6)</w:t>
            </w:r>
          </w:p>
        </w:tc>
        <w:tc>
          <w:tcPr>
            <w:tcW w:w="0" w:type="dxa"/>
            <w:vAlign w:val="bottom"/>
          </w:tcPr>
          <w:p>
            <w:pPr>
              <w:spacing w:after="0" w:line="20" w:lineRule="exact"/>
              <w:rPr>
                <w:sz w:val="1"/>
                <w:szCs w:val="1"/>
                <w:color w:val="auto"/>
              </w:rPr>
            </w:pPr>
          </w:p>
        </w:tc>
      </w:tr>
      <w:tr>
        <w:trPr>
          <w:trHeight w:val="326"/>
        </w:trPr>
        <w:tc>
          <w:tcPr>
            <w:tcW w:w="512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 xml:space="preserve">Corporate expense </w:t>
            </w:r>
            <w:r>
              <w:rPr>
                <w:rFonts w:ascii="Times New Roman" w:cs="Times New Roman" w:eastAsia="Times New Roman" w:hAnsi="Times New Roman"/>
                <w:sz w:val="23"/>
                <w:szCs w:val="23"/>
                <w:color w:val="auto"/>
                <w:vertAlign w:val="superscript"/>
              </w:rPr>
              <w:t>(1)</w:t>
            </w:r>
          </w:p>
        </w:tc>
        <w:tc>
          <w:tcPr>
            <w:tcW w:w="320" w:type="dxa"/>
            <w:vAlign w:val="bottom"/>
          </w:tcPr>
          <w:p>
            <w:pPr>
              <w:spacing w:after="0"/>
              <w:rPr>
                <w:sz w:val="24"/>
                <w:szCs w:val="24"/>
                <w:color w:val="auto"/>
              </w:rPr>
            </w:pPr>
          </w:p>
        </w:tc>
        <w:tc>
          <w:tcPr>
            <w:tcW w:w="112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4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6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2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512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Net interest expense</w:t>
            </w:r>
          </w:p>
        </w:tc>
        <w:tc>
          <w:tcPr>
            <w:tcW w:w="3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(91.8)</w:t>
            </w: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(116.5)</w:t>
            </w:r>
          </w:p>
        </w:tc>
        <w:tc>
          <w:tcPr>
            <w:tcW w:w="1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(238.5)</w:t>
            </w: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(345.3)</w:t>
            </w:r>
          </w:p>
        </w:tc>
        <w:tc>
          <w:tcPr>
            <w:tcW w:w="0" w:type="dxa"/>
            <w:vAlign w:val="bottom"/>
          </w:tcPr>
          <w:p>
            <w:pPr>
              <w:spacing w:after="0"/>
              <w:rPr>
                <w:sz w:val="1"/>
                <w:szCs w:val="1"/>
                <w:color w:val="auto"/>
              </w:rPr>
            </w:pPr>
          </w:p>
        </w:tc>
      </w:tr>
      <w:tr>
        <w:trPr>
          <w:trHeight w:val="270"/>
        </w:trPr>
        <w:tc>
          <w:tcPr>
            <w:tcW w:w="512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Foreign exchange gains (losses)</w:t>
            </w: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(53.2)</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(43.5)</w:t>
            </w:r>
          </w:p>
        </w:tc>
        <w:tc>
          <w:tcPr>
            <w:tcW w:w="12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(82.8)</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54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12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Total corporate items</w:t>
            </w:r>
          </w:p>
        </w:tc>
        <w:tc>
          <w:tcPr>
            <w:tcW w:w="3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(113.9)</w:t>
            </w: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(245.3)</w:t>
            </w:r>
          </w:p>
        </w:tc>
        <w:tc>
          <w:tcPr>
            <w:tcW w:w="1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(407.7)</w:t>
            </w: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(706.7)</w:t>
            </w: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254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66"/>
        </w:trPr>
        <w:tc>
          <w:tcPr>
            <w:tcW w:w="512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 xml:space="preserve">Income (loss) before income taxes </w:t>
            </w:r>
            <w:r>
              <w:rPr>
                <w:rFonts w:ascii="Times New Roman" w:cs="Times New Roman" w:eastAsia="Times New Roman" w:hAnsi="Times New Roman"/>
                <w:sz w:val="23"/>
                <w:szCs w:val="23"/>
                <w:color w:val="auto"/>
                <w:vertAlign w:val="superscript"/>
              </w:rPr>
              <w:t>(2)</w:t>
            </w:r>
          </w:p>
        </w:tc>
        <w:tc>
          <w:tcPr>
            <w:tcW w:w="3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28.9</w:t>
            </w:r>
          </w:p>
        </w:tc>
        <w:tc>
          <w:tcPr>
            <w:tcW w:w="120" w:type="dxa"/>
            <w:vAlign w:val="bottom"/>
          </w:tcPr>
          <w:p>
            <w:pPr>
              <w:spacing w:after="0"/>
              <w:rPr>
                <w:sz w:val="24"/>
                <w:szCs w:val="24"/>
                <w:color w:val="auto"/>
              </w:rPr>
            </w:pPr>
          </w:p>
        </w:tc>
        <w:tc>
          <w:tcPr>
            <w:tcW w:w="50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(34.2)</w:t>
            </w:r>
          </w:p>
        </w:tc>
        <w:tc>
          <w:tcPr>
            <w:tcW w:w="100" w:type="dxa"/>
            <w:vAlign w:val="bottom"/>
          </w:tcPr>
          <w:p>
            <w:pPr>
              <w:spacing w:after="0"/>
              <w:rPr>
                <w:sz w:val="24"/>
                <w:szCs w:val="24"/>
                <w:color w:val="auto"/>
              </w:rPr>
            </w:pPr>
          </w:p>
        </w:tc>
        <w:tc>
          <w:tcPr>
            <w:tcW w:w="48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(3,146.1)</w:t>
            </w:r>
          </w:p>
        </w:tc>
        <w:tc>
          <w:tcPr>
            <w:tcW w:w="120" w:type="dxa"/>
            <w:vAlign w:val="bottom"/>
          </w:tcPr>
          <w:p>
            <w:pPr>
              <w:spacing w:after="0"/>
              <w:rPr>
                <w:sz w:val="24"/>
                <w:szCs w:val="24"/>
                <w:color w:val="auto"/>
              </w:rPr>
            </w:pPr>
          </w:p>
        </w:tc>
        <w:tc>
          <w:tcPr>
            <w:tcW w:w="52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114.7</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33" w:lineRule="exact"/>
        <w:rPr>
          <w:sz w:val="20"/>
          <w:szCs w:val="20"/>
          <w:color w:val="auto"/>
        </w:rPr>
      </w:pPr>
    </w:p>
    <w:p>
      <w:pPr>
        <w:ind w:left="400" w:hanging="392"/>
        <w:spacing w:after="0"/>
        <w:tabs>
          <w:tab w:leader="none" w:pos="4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Corporate expense primarily includes corporate staff expenses, share-based compensation expenses, and other employee benefits.</w:t>
      </w:r>
    </w:p>
    <w:p>
      <w:pPr>
        <w:spacing w:after="0" w:line="171" w:lineRule="exact"/>
        <w:rPr>
          <w:rFonts w:ascii="Times New Roman" w:cs="Times New Roman" w:eastAsia="Times New Roman" w:hAnsi="Times New Roman"/>
          <w:sz w:val="18"/>
          <w:szCs w:val="18"/>
          <w:color w:val="auto"/>
        </w:rPr>
      </w:pPr>
    </w:p>
    <w:p>
      <w:pPr>
        <w:ind w:left="400" w:hanging="392"/>
        <w:spacing w:after="0"/>
        <w:tabs>
          <w:tab w:leader="none" w:pos="4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amounts attributable to non-controlling interests.</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5040"/>
        <w:spacing w:after="0"/>
        <w:tabs>
          <w:tab w:leader="none" w:pos="1026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16 of 26</w:t>
      </w:r>
    </w:p>
    <w:p>
      <w:pPr>
        <w:sectPr>
          <w:pgSz w:w="11900" w:h="16838" w:orient="portrait"/>
          <w:cols w:equalWidth="0" w:num="1">
            <w:col w:w="11240"/>
          </w:cols>
          <w:pgMar w:left="320" w:top="1051" w:right="339" w:bottom="1440" w:gutter="0" w:footer="0" w:header="0"/>
        </w:sectPr>
      </w:pPr>
    </w:p>
    <w:bookmarkStart w:id="20" w:name="page21"/>
    <w:bookmarkEnd w:id="20"/>
    <w:p>
      <w:pPr>
        <w:jc w:val="right"/>
        <w:spacing w:after="0"/>
        <w:rPr>
          <w:sz w:val="20"/>
          <w:szCs w:val="20"/>
          <w:color w:val="auto"/>
        </w:rPr>
      </w:pPr>
      <w:r>
        <w:rPr>
          <w:rFonts w:ascii="Times New Roman" w:cs="Times New Roman" w:eastAsia="Times New Roman" w:hAnsi="Times New Roman"/>
          <w:sz w:val="13"/>
          <w:szCs w:val="13"/>
          <w:b w:val="1"/>
          <w:bCs w:val="1"/>
          <w:color w:val="auto"/>
        </w:rPr>
        <w:t>Exhibit 3</w:t>
      </w:r>
    </w:p>
    <w:p>
      <w:pPr>
        <w:spacing w:after="0" w:line="1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TECHNIPFMC PLC AND CONSOLIDATED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BUSINESS SEGMENT DATA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millions, unaudited)</w:t>
      </w:r>
    </w:p>
    <w:p>
      <w:pPr>
        <w:spacing w:after="0" w:line="392" w:lineRule="exact"/>
        <w:rPr>
          <w:sz w:val="20"/>
          <w:szCs w:val="20"/>
          <w:color w:val="auto"/>
        </w:rPr>
      </w:pPr>
    </w:p>
    <w:tbl>
      <w:tblPr>
        <w:tblLayout w:type="fixed"/>
        <w:tblInd w:w="20" w:type="dxa"/>
        <w:tblCellMar>
          <w:top w:w="0" w:type="dxa"/>
          <w:left w:w="0" w:type="dxa"/>
          <w:bottom w:w="0" w:type="dxa"/>
          <w:right w:w="0" w:type="dxa"/>
        </w:tblCellMar>
      </w:tblPr>
      <w:tr>
        <w:trPr>
          <w:trHeight w:val="238"/>
        </w:trPr>
        <w:tc>
          <w:tcPr>
            <w:tcW w:w="1300" w:type="dxa"/>
            <w:vAlign w:val="bottom"/>
          </w:tcPr>
          <w:p>
            <w:pPr>
              <w:spacing w:after="0"/>
              <w:rPr>
                <w:sz w:val="20"/>
                <w:szCs w:val="20"/>
                <w:color w:val="auto"/>
              </w:rPr>
            </w:pPr>
          </w:p>
        </w:tc>
        <w:tc>
          <w:tcPr>
            <w:tcW w:w="38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780" w:type="dxa"/>
            <w:vAlign w:val="bottom"/>
            <w:gridSpan w:val="5"/>
          </w:tcPr>
          <w:p>
            <w:pPr>
              <w:ind w:left="36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320" w:type="dxa"/>
            <w:vAlign w:val="bottom"/>
          </w:tcPr>
          <w:p>
            <w:pPr>
              <w:spacing w:after="0"/>
              <w:rPr>
                <w:sz w:val="20"/>
                <w:szCs w:val="20"/>
                <w:color w:val="auto"/>
              </w:rPr>
            </w:pPr>
          </w:p>
        </w:tc>
        <w:tc>
          <w:tcPr>
            <w:tcW w:w="2680" w:type="dxa"/>
            <w:vAlign w:val="bottom"/>
            <w:gridSpan w:val="4"/>
          </w:tcPr>
          <w:p>
            <w:pPr>
              <w:jc w:val="right"/>
              <w:ind w:right="630"/>
              <w:spacing w:after="0"/>
              <w:rPr>
                <w:sz w:val="20"/>
                <w:szCs w:val="20"/>
                <w:color w:val="auto"/>
              </w:rPr>
            </w:pPr>
            <w:r>
              <w:rPr>
                <w:rFonts w:ascii="Times New Roman" w:cs="Times New Roman" w:eastAsia="Times New Roman" w:hAnsi="Times New Roman"/>
                <w:sz w:val="18"/>
                <w:szCs w:val="18"/>
                <w:b w:val="1"/>
                <w:bCs w:val="1"/>
                <w:color w:val="auto"/>
              </w:rPr>
              <w:t>Nine Months Ended</w:t>
            </w:r>
          </w:p>
        </w:tc>
      </w:tr>
      <w:tr>
        <w:trPr>
          <w:trHeight w:val="256"/>
        </w:trPr>
        <w:tc>
          <w:tcPr>
            <w:tcW w:w="5120" w:type="dxa"/>
            <w:vAlign w:val="bottom"/>
            <w:gridSpan w:val="2"/>
          </w:tcPr>
          <w:p>
            <w:pPr>
              <w:spacing w:after="0" w:line="256" w:lineRule="exact"/>
              <w:rPr>
                <w:sz w:val="20"/>
                <w:szCs w:val="20"/>
                <w:color w:val="auto"/>
              </w:rPr>
            </w:pPr>
            <w:r>
              <w:rPr>
                <w:rFonts w:ascii="Times New Roman" w:cs="Times New Roman" w:eastAsia="Times New Roman" w:hAnsi="Times New Roman"/>
                <w:sz w:val="18"/>
                <w:szCs w:val="18"/>
                <w:b w:val="1"/>
                <w:bCs w:val="1"/>
                <w:color w:val="auto"/>
              </w:rPr>
              <w:t xml:space="preserve">Inbound Orders </w:t>
            </w:r>
            <w:r>
              <w:rPr>
                <w:rFonts w:ascii="Times New Roman" w:cs="Times New Roman" w:eastAsia="Times New Roman" w:hAnsi="Times New Roman"/>
                <w:sz w:val="23"/>
                <w:szCs w:val="23"/>
                <w:b w:val="1"/>
                <w:bCs w:val="1"/>
                <w:color w:val="auto"/>
                <w:vertAlign w:val="superscript"/>
              </w:rPr>
              <w:t>(1)</w:t>
            </w:r>
          </w:p>
        </w:tc>
        <w:tc>
          <w:tcPr>
            <w:tcW w:w="320" w:type="dxa"/>
            <w:vAlign w:val="bottom"/>
          </w:tcPr>
          <w:p>
            <w:pPr>
              <w:spacing w:after="0"/>
              <w:rPr>
                <w:sz w:val="22"/>
                <w:szCs w:val="22"/>
                <w:color w:val="auto"/>
              </w:rPr>
            </w:pPr>
          </w:p>
        </w:tc>
        <w:tc>
          <w:tcPr>
            <w:tcW w:w="174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76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920" w:type="dxa"/>
            <w:vAlign w:val="bottom"/>
          </w:tcPr>
          <w:p>
            <w:pPr>
              <w:spacing w:after="0"/>
              <w:rPr>
                <w:sz w:val="22"/>
                <w:szCs w:val="22"/>
                <w:color w:val="auto"/>
              </w:rPr>
            </w:pPr>
          </w:p>
        </w:tc>
      </w:tr>
      <w:tr>
        <w:trPr>
          <w:trHeight w:val="21"/>
        </w:trPr>
        <w:tc>
          <w:tcPr>
            <w:tcW w:w="1300" w:type="dxa"/>
            <w:vAlign w:val="bottom"/>
            <w:tcBorders>
              <w:top w:val="single" w:sz="8" w:color="auto"/>
            </w:tcBorders>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r>
        <w:trPr>
          <w:trHeight w:val="237"/>
        </w:trPr>
        <w:tc>
          <w:tcPr>
            <w:tcW w:w="1300" w:type="dxa"/>
            <w:vAlign w:val="bottom"/>
          </w:tcPr>
          <w:p>
            <w:pPr>
              <w:spacing w:after="0"/>
              <w:rPr>
                <w:sz w:val="20"/>
                <w:szCs w:val="20"/>
                <w:color w:val="auto"/>
              </w:rPr>
            </w:pPr>
          </w:p>
        </w:tc>
        <w:tc>
          <w:tcPr>
            <w:tcW w:w="38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94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2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w w:val="99"/>
              </w:rPr>
              <w:t>2019</w:t>
            </w:r>
          </w:p>
        </w:tc>
      </w:tr>
      <w:tr>
        <w:trPr>
          <w:trHeight w:val="27"/>
        </w:trPr>
        <w:tc>
          <w:tcPr>
            <w:tcW w:w="1300" w:type="dxa"/>
            <w:vAlign w:val="bottom"/>
          </w:tcPr>
          <w:p>
            <w:pPr>
              <w:spacing w:after="0"/>
              <w:rPr>
                <w:sz w:val="2"/>
                <w:szCs w:val="2"/>
                <w:color w:val="auto"/>
              </w:rPr>
            </w:pPr>
          </w:p>
        </w:tc>
        <w:tc>
          <w:tcPr>
            <w:tcW w:w="38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439"/>
        </w:trPr>
        <w:tc>
          <w:tcPr>
            <w:tcW w:w="5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Subsea</w:t>
            </w: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1,607.1</w:t>
            </w:r>
          </w:p>
        </w:tc>
        <w:tc>
          <w:tcPr>
            <w:tcW w:w="120" w:type="dxa"/>
            <w:vAlign w:val="bottom"/>
          </w:tcPr>
          <w:p>
            <w:pPr>
              <w:spacing w:after="0"/>
              <w:rPr>
                <w:sz w:val="24"/>
                <w:szCs w:val="24"/>
                <w:color w:val="auto"/>
              </w:rPr>
            </w:pPr>
          </w:p>
        </w:tc>
        <w:tc>
          <w:tcPr>
            <w:tcW w:w="50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1,509.9</w:t>
            </w:r>
          </w:p>
        </w:tc>
        <w:tc>
          <w:tcPr>
            <w:tcW w:w="100" w:type="dxa"/>
            <w:vAlign w:val="bottom"/>
          </w:tcPr>
          <w:p>
            <w:pPr>
              <w:spacing w:after="0"/>
              <w:rPr>
                <w:sz w:val="24"/>
                <w:szCs w:val="24"/>
                <w:color w:val="auto"/>
              </w:rPr>
            </w:pPr>
          </w:p>
        </w:tc>
        <w:tc>
          <w:tcPr>
            <w:tcW w:w="3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3,290.9</w:t>
            </w:r>
          </w:p>
        </w:tc>
        <w:tc>
          <w:tcPr>
            <w:tcW w:w="120" w:type="dxa"/>
            <w:vAlign w:val="bottom"/>
          </w:tcPr>
          <w:p>
            <w:pPr>
              <w:spacing w:after="0"/>
              <w:rPr>
                <w:sz w:val="24"/>
                <w:szCs w:val="24"/>
                <w:color w:val="auto"/>
              </w:rPr>
            </w:pPr>
          </w:p>
        </w:tc>
        <w:tc>
          <w:tcPr>
            <w:tcW w:w="52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6,820.3</w:t>
            </w:r>
          </w:p>
        </w:tc>
      </w:tr>
      <w:tr>
        <w:trPr>
          <w:trHeight w:val="270"/>
        </w:trPr>
        <w:tc>
          <w:tcPr>
            <w:tcW w:w="5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Technip Energies</w:t>
            </w: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412.8</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696.0</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1,809.2</w:t>
            </w:r>
          </w:p>
        </w:tc>
        <w:tc>
          <w:tcPr>
            <w:tcW w:w="12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11,966.0</w:t>
            </w:r>
          </w:p>
        </w:tc>
      </w:tr>
      <w:tr>
        <w:trPr>
          <w:trHeight w:val="270"/>
        </w:trPr>
        <w:tc>
          <w:tcPr>
            <w:tcW w:w="5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Surface Technologies</w:t>
            </w: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207.5</w:t>
            </w:r>
          </w:p>
        </w:tc>
        <w:tc>
          <w:tcPr>
            <w:tcW w:w="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404.7</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760.9</w:t>
            </w:r>
          </w:p>
        </w:tc>
        <w:tc>
          <w:tcPr>
            <w:tcW w:w="12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1,188.3</w:t>
            </w:r>
          </w:p>
        </w:tc>
      </w:tr>
      <w:tr>
        <w:trPr>
          <w:trHeight w:val="27"/>
        </w:trPr>
        <w:tc>
          <w:tcPr>
            <w:tcW w:w="1300" w:type="dxa"/>
            <w:vAlign w:val="bottom"/>
          </w:tcPr>
          <w:p>
            <w:pPr>
              <w:spacing w:after="0"/>
              <w:rPr>
                <w:sz w:val="2"/>
                <w:szCs w:val="2"/>
                <w:color w:val="auto"/>
              </w:rPr>
            </w:pPr>
          </w:p>
        </w:tc>
        <w:tc>
          <w:tcPr>
            <w:tcW w:w="38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63"/>
        </w:trPr>
        <w:tc>
          <w:tcPr>
            <w:tcW w:w="5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inbound orders</w:t>
            </w:r>
          </w:p>
        </w:tc>
        <w:tc>
          <w:tcPr>
            <w:tcW w:w="3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2,227.4</w:t>
            </w:r>
          </w:p>
        </w:tc>
        <w:tc>
          <w:tcPr>
            <w:tcW w:w="120" w:type="dxa"/>
            <w:vAlign w:val="bottom"/>
          </w:tcPr>
          <w:p>
            <w:pPr>
              <w:spacing w:after="0"/>
              <w:rPr>
                <w:sz w:val="22"/>
                <w:szCs w:val="22"/>
                <w:color w:val="auto"/>
              </w:rPr>
            </w:pPr>
          </w:p>
        </w:tc>
        <w:tc>
          <w:tcPr>
            <w:tcW w:w="50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2,610.6</w:t>
            </w:r>
          </w:p>
        </w:tc>
        <w:tc>
          <w:tcPr>
            <w:tcW w:w="100" w:type="dxa"/>
            <w:vAlign w:val="bottom"/>
          </w:tcPr>
          <w:p>
            <w:pPr>
              <w:spacing w:after="0"/>
              <w:rPr>
                <w:sz w:val="22"/>
                <w:szCs w:val="22"/>
                <w:color w:val="auto"/>
              </w:rPr>
            </w:pPr>
          </w:p>
        </w:tc>
        <w:tc>
          <w:tcPr>
            <w:tcW w:w="32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5,861.0</w:t>
            </w:r>
          </w:p>
        </w:tc>
        <w:tc>
          <w:tcPr>
            <w:tcW w:w="120" w:type="dxa"/>
            <w:vAlign w:val="bottom"/>
          </w:tcPr>
          <w:p>
            <w:pPr>
              <w:spacing w:after="0"/>
              <w:rPr>
                <w:sz w:val="22"/>
                <w:szCs w:val="22"/>
                <w:color w:val="auto"/>
              </w:rPr>
            </w:pPr>
          </w:p>
        </w:tc>
        <w:tc>
          <w:tcPr>
            <w:tcW w:w="52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19,974.6</w:t>
            </w:r>
          </w:p>
        </w:tc>
      </w:tr>
      <w:tr>
        <w:trPr>
          <w:trHeight w:val="21"/>
        </w:trPr>
        <w:tc>
          <w:tcPr>
            <w:tcW w:w="130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51" w:lineRule="exact"/>
        <w:rPr>
          <w:sz w:val="20"/>
          <w:szCs w:val="20"/>
          <w:color w:val="auto"/>
        </w:rPr>
      </w:pPr>
    </w:p>
    <w:tbl>
      <w:tblPr>
        <w:tblLayout w:type="fixed"/>
        <w:tblInd w:w="40" w:type="dxa"/>
        <w:tblCellMar>
          <w:top w:w="0" w:type="dxa"/>
          <w:left w:w="0" w:type="dxa"/>
          <w:bottom w:w="0" w:type="dxa"/>
          <w:right w:w="0" w:type="dxa"/>
        </w:tblCellMar>
      </w:tblPr>
      <w:tr>
        <w:trPr>
          <w:trHeight w:val="264"/>
        </w:trPr>
        <w:tc>
          <w:tcPr>
            <w:tcW w:w="81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 xml:space="preserve">Order Backlog </w:t>
            </w:r>
            <w:r>
              <w:rPr>
                <w:rFonts w:ascii="Times New Roman" w:cs="Times New Roman" w:eastAsia="Times New Roman" w:hAnsi="Times New Roman"/>
                <w:sz w:val="23"/>
                <w:szCs w:val="23"/>
                <w:b w:val="1"/>
                <w:bCs w:val="1"/>
                <w:color w:val="auto"/>
                <w:vertAlign w:val="superscript"/>
              </w:rPr>
              <w:t>(2)</w:t>
            </w:r>
          </w:p>
        </w:tc>
        <w:tc>
          <w:tcPr>
            <w:tcW w:w="340" w:type="dxa"/>
            <w:vAlign w:val="bottom"/>
          </w:tcPr>
          <w:p>
            <w:pPr>
              <w:spacing w:after="0"/>
              <w:rPr>
                <w:sz w:val="22"/>
                <w:szCs w:val="22"/>
                <w:color w:val="auto"/>
              </w:rPr>
            </w:pPr>
          </w:p>
        </w:tc>
        <w:tc>
          <w:tcPr>
            <w:tcW w:w="176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September 30,</w:t>
            </w:r>
          </w:p>
        </w:tc>
        <w:tc>
          <w:tcPr>
            <w:tcW w:w="920" w:type="dxa"/>
            <w:vAlign w:val="bottom"/>
          </w:tcPr>
          <w:p>
            <w:pPr>
              <w:spacing w:after="0"/>
              <w:rPr>
                <w:sz w:val="22"/>
                <w:szCs w:val="22"/>
                <w:color w:val="auto"/>
              </w:rPr>
            </w:pPr>
          </w:p>
        </w:tc>
      </w:tr>
      <w:tr>
        <w:trPr>
          <w:trHeight w:val="20"/>
        </w:trPr>
        <w:tc>
          <w:tcPr>
            <w:tcW w:w="1140" w:type="dxa"/>
            <w:vAlign w:val="bottom"/>
            <w:tcBorders>
              <w:top w:val="single" w:sz="8" w:color="auto"/>
            </w:tcBorders>
          </w:tcPr>
          <w:p>
            <w:pPr>
              <w:spacing w:after="0" w:line="20" w:lineRule="exact"/>
              <w:rPr>
                <w:sz w:val="1"/>
                <w:szCs w:val="1"/>
                <w:color w:val="auto"/>
              </w:rPr>
            </w:pPr>
          </w:p>
        </w:tc>
        <w:tc>
          <w:tcPr>
            <w:tcW w:w="70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r>
        <w:trPr>
          <w:trHeight w:val="237"/>
        </w:trPr>
        <w:tc>
          <w:tcPr>
            <w:tcW w:w="1140" w:type="dxa"/>
            <w:vAlign w:val="bottom"/>
          </w:tcPr>
          <w:p>
            <w:pPr>
              <w:spacing w:after="0"/>
              <w:rPr>
                <w:sz w:val="20"/>
                <w:szCs w:val="20"/>
                <w:color w:val="auto"/>
              </w:rPr>
            </w:pPr>
          </w:p>
        </w:tc>
        <w:tc>
          <w:tcPr>
            <w:tcW w:w="70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2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w w:val="99"/>
              </w:rPr>
              <w:t>2019</w:t>
            </w:r>
          </w:p>
        </w:tc>
      </w:tr>
      <w:tr>
        <w:trPr>
          <w:trHeight w:val="27"/>
        </w:trPr>
        <w:tc>
          <w:tcPr>
            <w:tcW w:w="1140" w:type="dxa"/>
            <w:vAlign w:val="bottom"/>
          </w:tcPr>
          <w:p>
            <w:pPr>
              <w:spacing w:after="0"/>
              <w:rPr>
                <w:sz w:val="2"/>
                <w:szCs w:val="2"/>
                <w:color w:val="auto"/>
              </w:rPr>
            </w:pPr>
          </w:p>
        </w:tc>
        <w:tc>
          <w:tcPr>
            <w:tcW w:w="70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439"/>
        </w:trPr>
        <w:tc>
          <w:tcPr>
            <w:tcW w:w="8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Subsea</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7,218.0</w:t>
            </w:r>
          </w:p>
        </w:tc>
        <w:tc>
          <w:tcPr>
            <w:tcW w:w="100" w:type="dxa"/>
            <w:vAlign w:val="bottom"/>
          </w:tcPr>
          <w:p>
            <w:pPr>
              <w:spacing w:after="0"/>
              <w:rPr>
                <w:sz w:val="24"/>
                <w:szCs w:val="24"/>
                <w:color w:val="auto"/>
              </w:rPr>
            </w:pPr>
          </w:p>
        </w:tc>
        <w:tc>
          <w:tcPr>
            <w:tcW w:w="54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8,655.8</w:t>
            </w:r>
          </w:p>
        </w:tc>
      </w:tr>
      <w:tr>
        <w:trPr>
          <w:trHeight w:val="270"/>
        </w:trPr>
        <w:tc>
          <w:tcPr>
            <w:tcW w:w="8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Technip Energies</w:t>
            </w:r>
          </w:p>
        </w:tc>
        <w:tc>
          <w:tcPr>
            <w:tcW w:w="34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12,059.2</w:t>
            </w:r>
          </w:p>
        </w:tc>
        <w:tc>
          <w:tcPr>
            <w:tcW w:w="1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15,030.8</w:t>
            </w:r>
          </w:p>
        </w:tc>
      </w:tr>
      <w:tr>
        <w:trPr>
          <w:trHeight w:val="270"/>
        </w:trPr>
        <w:tc>
          <w:tcPr>
            <w:tcW w:w="8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Surface Technologies</w:t>
            </w:r>
          </w:p>
        </w:tc>
        <w:tc>
          <w:tcPr>
            <w:tcW w:w="34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368.9</w:t>
            </w:r>
          </w:p>
        </w:tc>
        <w:tc>
          <w:tcPr>
            <w:tcW w:w="1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428.7</w:t>
            </w:r>
          </w:p>
        </w:tc>
      </w:tr>
      <w:tr>
        <w:trPr>
          <w:trHeight w:val="27"/>
        </w:trPr>
        <w:tc>
          <w:tcPr>
            <w:tcW w:w="1140" w:type="dxa"/>
            <w:vAlign w:val="bottom"/>
          </w:tcPr>
          <w:p>
            <w:pPr>
              <w:spacing w:after="0"/>
              <w:rPr>
                <w:sz w:val="2"/>
                <w:szCs w:val="2"/>
                <w:color w:val="auto"/>
              </w:rPr>
            </w:pPr>
          </w:p>
        </w:tc>
        <w:tc>
          <w:tcPr>
            <w:tcW w:w="70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64"/>
        </w:trPr>
        <w:tc>
          <w:tcPr>
            <w:tcW w:w="8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order backlog</w:t>
            </w:r>
          </w:p>
        </w:tc>
        <w:tc>
          <w:tcPr>
            <w:tcW w:w="3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19,646.1</w:t>
            </w:r>
          </w:p>
        </w:tc>
        <w:tc>
          <w:tcPr>
            <w:tcW w:w="100" w:type="dxa"/>
            <w:vAlign w:val="bottom"/>
          </w:tcPr>
          <w:p>
            <w:pPr>
              <w:spacing w:after="0"/>
              <w:rPr>
                <w:sz w:val="22"/>
                <w:szCs w:val="22"/>
                <w:color w:val="auto"/>
              </w:rPr>
            </w:pPr>
          </w:p>
        </w:tc>
        <w:tc>
          <w:tcPr>
            <w:tcW w:w="54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24,115.3</w:t>
            </w:r>
          </w:p>
        </w:tc>
      </w:tr>
      <w:tr>
        <w:trPr>
          <w:trHeight w:val="20"/>
        </w:trPr>
        <w:tc>
          <w:tcPr>
            <w:tcW w:w="1140" w:type="dxa"/>
            <w:vAlign w:val="bottom"/>
          </w:tcPr>
          <w:p>
            <w:pPr>
              <w:spacing w:after="0" w:line="20" w:lineRule="exact"/>
              <w:rPr>
                <w:sz w:val="1"/>
                <w:szCs w:val="1"/>
                <w:color w:val="auto"/>
              </w:rPr>
            </w:pPr>
          </w:p>
        </w:tc>
        <w:tc>
          <w:tcPr>
            <w:tcW w:w="70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333" w:lineRule="exact"/>
        <w:rPr>
          <w:sz w:val="20"/>
          <w:szCs w:val="20"/>
          <w:color w:val="auto"/>
        </w:rPr>
      </w:pPr>
    </w:p>
    <w:p>
      <w:pPr>
        <w:ind w:left="400" w:hanging="392"/>
        <w:spacing w:after="0"/>
        <w:tabs>
          <w:tab w:leader="none" w:pos="4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Inbound orders represent the estimated sales value of confirmed customer orders received during the reporting period.</w:t>
      </w:r>
    </w:p>
    <w:p>
      <w:pPr>
        <w:spacing w:after="0" w:line="171" w:lineRule="exact"/>
        <w:rPr>
          <w:rFonts w:ascii="Times New Roman" w:cs="Times New Roman" w:eastAsia="Times New Roman" w:hAnsi="Times New Roman"/>
          <w:sz w:val="18"/>
          <w:szCs w:val="18"/>
          <w:color w:val="auto"/>
        </w:rPr>
      </w:pPr>
    </w:p>
    <w:p>
      <w:pPr>
        <w:ind w:left="400" w:hanging="392"/>
        <w:spacing w:after="0"/>
        <w:tabs>
          <w:tab w:leader="none" w:pos="4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Order backlog is calculated as the estimated sales value of unfilled, confirmed customer orders at the reporting date.</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5040"/>
        <w:spacing w:after="0"/>
        <w:tabs>
          <w:tab w:leader="none" w:pos="1026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17 of 26</w:t>
      </w:r>
    </w:p>
    <w:p>
      <w:pPr>
        <w:sectPr>
          <w:pgSz w:w="11900" w:h="16838" w:orient="portrait"/>
          <w:cols w:equalWidth="0" w:num="1">
            <w:col w:w="11240"/>
          </w:cols>
          <w:pgMar w:left="320" w:top="1051" w:right="33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166"/>
        </w:trPr>
        <w:tc>
          <w:tcPr>
            <w:tcW w:w="3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80" w:type="dxa"/>
            <w:vAlign w:val="bottom"/>
            <w:gridSpan w:val="2"/>
          </w:tcPr>
          <w:p>
            <w:pPr>
              <w:ind w:left="780"/>
              <w:spacing w:after="0"/>
              <w:rPr>
                <w:sz w:val="20"/>
                <w:szCs w:val="20"/>
                <w:color w:val="auto"/>
              </w:rPr>
            </w:pPr>
            <w:r>
              <w:rPr>
                <w:rFonts w:ascii="Times New Roman" w:cs="Times New Roman" w:eastAsia="Times New Roman" w:hAnsi="Times New Roman"/>
                <w:sz w:val="13"/>
                <w:szCs w:val="13"/>
                <w:b w:val="1"/>
                <w:bCs w:val="1"/>
                <w:color w:val="auto"/>
                <w:w w:val="94"/>
              </w:rPr>
              <w:t>Exhibit 4</w:t>
            </w:r>
          </w:p>
        </w:tc>
      </w:tr>
      <w:tr>
        <w:trPr>
          <w:trHeight w:val="340"/>
        </w:trPr>
        <w:tc>
          <w:tcPr>
            <w:tcW w:w="3140" w:type="dxa"/>
            <w:vAlign w:val="bottom"/>
          </w:tcPr>
          <w:p>
            <w:pPr>
              <w:spacing w:after="0"/>
              <w:rPr>
                <w:sz w:val="24"/>
                <w:szCs w:val="24"/>
                <w:color w:val="auto"/>
              </w:rPr>
            </w:pPr>
          </w:p>
        </w:tc>
        <w:tc>
          <w:tcPr>
            <w:tcW w:w="5020" w:type="dxa"/>
            <w:vAlign w:val="bottom"/>
            <w:gridSpan w:val="4"/>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99"/>
              </w:rPr>
              <w:t>TECHNIPFMC PLC AND CONSOLIDATED SUBSIDIARIES</w:t>
            </w: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96"/>
        </w:trPr>
        <w:tc>
          <w:tcPr>
            <w:tcW w:w="3140" w:type="dxa"/>
            <w:vAlign w:val="bottom"/>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4580" w:type="dxa"/>
            <w:vAlign w:val="bottom"/>
            <w:tcBorders>
              <w:top w:val="single" w:sz="8" w:color="auto"/>
            </w:tcBorders>
            <w:gridSpan w:val="2"/>
          </w:tcPr>
          <w:p>
            <w:pPr>
              <w:jc w:val="center"/>
              <w:ind w:right="300"/>
              <w:spacing w:after="0" w:line="196" w:lineRule="exact"/>
              <w:rPr>
                <w:sz w:val="20"/>
                <w:szCs w:val="20"/>
                <w:color w:val="auto"/>
              </w:rPr>
            </w:pPr>
            <w:r>
              <w:rPr>
                <w:rFonts w:ascii="Times New Roman" w:cs="Times New Roman" w:eastAsia="Times New Roman" w:hAnsi="Times New Roman"/>
                <w:sz w:val="18"/>
                <w:szCs w:val="18"/>
                <w:b w:val="1"/>
                <w:bCs w:val="1"/>
                <w:color w:val="auto"/>
                <w:w w:val="99"/>
              </w:rPr>
              <w:t>CONDENSED CONSOLIDATED BALANCE SHEETS</w:t>
            </w: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37"/>
        </w:trPr>
        <w:tc>
          <w:tcPr>
            <w:tcW w:w="31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2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(In millions)</w:t>
            </w:r>
          </w:p>
        </w:tc>
        <w:tc>
          <w:tcPr>
            <w:tcW w:w="440" w:type="dxa"/>
            <w:vAlign w:val="bottom"/>
            <w:gridSpan w:val="2"/>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493"/>
        </w:trPr>
        <w:tc>
          <w:tcPr>
            <w:tcW w:w="3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60" w:type="dxa"/>
            <w:vAlign w:val="bottom"/>
            <w:gridSpan w:val="5"/>
          </w:tcPr>
          <w:p>
            <w:pPr>
              <w:ind w:left="920"/>
              <w:spacing w:after="0"/>
              <w:rPr>
                <w:sz w:val="20"/>
                <w:szCs w:val="20"/>
                <w:color w:val="auto"/>
              </w:rPr>
            </w:pPr>
            <w:r>
              <w:rPr>
                <w:rFonts w:ascii="Times New Roman" w:cs="Times New Roman" w:eastAsia="Times New Roman" w:hAnsi="Times New Roman"/>
                <w:sz w:val="16"/>
                <w:szCs w:val="16"/>
                <w:b w:val="1"/>
                <w:bCs w:val="1"/>
                <w:color w:val="auto"/>
              </w:rPr>
              <w:t>(Unaudited)</w:t>
            </w:r>
          </w:p>
        </w:tc>
      </w:tr>
      <w:tr>
        <w:trPr>
          <w:trHeight w:val="33"/>
        </w:trPr>
        <w:tc>
          <w:tcPr>
            <w:tcW w:w="3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42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07"/>
        </w:trPr>
        <w:tc>
          <w:tcPr>
            <w:tcW w:w="3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80" w:type="dxa"/>
            <w:vAlign w:val="bottom"/>
            <w:gridSpan w:val="2"/>
          </w:tcPr>
          <w:p>
            <w:pPr>
              <w:ind w:left="60"/>
              <w:spacing w:after="0"/>
              <w:rPr>
                <w:sz w:val="20"/>
                <w:szCs w:val="20"/>
                <w:color w:val="auto"/>
              </w:rPr>
            </w:pPr>
            <w:r>
              <w:rPr>
                <w:rFonts w:ascii="Times New Roman" w:cs="Times New Roman" w:eastAsia="Times New Roman" w:hAnsi="Times New Roman"/>
                <w:sz w:val="16"/>
                <w:szCs w:val="16"/>
                <w:b w:val="1"/>
                <w:bCs w:val="1"/>
                <w:color w:val="auto"/>
              </w:rPr>
              <w:t>September 30,</w:t>
            </w:r>
          </w:p>
        </w:tc>
        <w:tc>
          <w:tcPr>
            <w:tcW w:w="200" w:type="dxa"/>
            <w:vAlign w:val="bottom"/>
          </w:tcPr>
          <w:p>
            <w:pPr>
              <w:spacing w:after="0"/>
              <w:rPr>
                <w:sz w:val="18"/>
                <w:szCs w:val="18"/>
                <w:color w:val="auto"/>
              </w:rPr>
            </w:pPr>
          </w:p>
        </w:tc>
        <w:tc>
          <w:tcPr>
            <w:tcW w:w="1280" w:type="dxa"/>
            <w:vAlign w:val="bottom"/>
            <w:gridSpan w:val="2"/>
          </w:tcPr>
          <w:p>
            <w:pPr>
              <w:ind w:left="60"/>
              <w:spacing w:after="0"/>
              <w:rPr>
                <w:sz w:val="20"/>
                <w:szCs w:val="20"/>
                <w:color w:val="auto"/>
              </w:rPr>
            </w:pPr>
            <w:r>
              <w:rPr>
                <w:rFonts w:ascii="Times New Roman" w:cs="Times New Roman" w:eastAsia="Times New Roman" w:hAnsi="Times New Roman"/>
                <w:sz w:val="16"/>
                <w:szCs w:val="16"/>
                <w:b w:val="1"/>
                <w:bCs w:val="1"/>
                <w:color w:val="auto"/>
              </w:rPr>
              <w:t>December 31,</w:t>
            </w:r>
          </w:p>
        </w:tc>
      </w:tr>
      <w:tr>
        <w:trPr>
          <w:trHeight w:val="212"/>
        </w:trPr>
        <w:tc>
          <w:tcPr>
            <w:tcW w:w="3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tcPr>
          <w:p>
            <w:pPr>
              <w:jc w:val="right"/>
              <w:ind w:right="471"/>
              <w:spacing w:after="0"/>
              <w:rPr>
                <w:sz w:val="20"/>
                <w:szCs w:val="20"/>
                <w:color w:val="auto"/>
              </w:rPr>
            </w:pPr>
            <w:r>
              <w:rPr>
                <w:rFonts w:ascii="Times New Roman" w:cs="Times New Roman" w:eastAsia="Times New Roman" w:hAnsi="Times New Roman"/>
                <w:sz w:val="16"/>
                <w:szCs w:val="16"/>
                <w:b w:val="1"/>
                <w:bCs w:val="1"/>
                <w:color w:val="auto"/>
              </w:rPr>
              <w:t>2020</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tcPr>
          <w:p>
            <w:pPr>
              <w:jc w:val="right"/>
              <w:ind w:right="472"/>
              <w:spacing w:after="0"/>
              <w:rPr>
                <w:sz w:val="20"/>
                <w:szCs w:val="20"/>
                <w:color w:val="auto"/>
              </w:rPr>
            </w:pPr>
            <w:r>
              <w:rPr>
                <w:rFonts w:ascii="Times New Roman" w:cs="Times New Roman" w:eastAsia="Times New Roman" w:hAnsi="Times New Roman"/>
                <w:sz w:val="16"/>
                <w:szCs w:val="16"/>
                <w:b w:val="1"/>
                <w:bCs w:val="1"/>
                <w:color w:val="auto"/>
              </w:rPr>
              <w:t>2019</w:t>
            </w:r>
          </w:p>
        </w:tc>
        <w:tc>
          <w:tcPr>
            <w:tcW w:w="20" w:type="dxa"/>
            <w:vAlign w:val="bottom"/>
          </w:tcPr>
          <w:p>
            <w:pPr>
              <w:spacing w:after="0"/>
              <w:rPr>
                <w:sz w:val="18"/>
                <w:szCs w:val="18"/>
                <w:color w:val="auto"/>
              </w:rPr>
            </w:pPr>
          </w:p>
        </w:tc>
      </w:tr>
      <w:tr>
        <w:trPr>
          <w:trHeight w:val="33"/>
        </w:trPr>
        <w:tc>
          <w:tcPr>
            <w:tcW w:w="8160" w:type="dxa"/>
            <w:vAlign w:val="bottom"/>
            <w:gridSpan w:val="5"/>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439"/>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4,244.0</w:t>
            </w:r>
          </w:p>
        </w:tc>
        <w:tc>
          <w:tcPr>
            <w:tcW w:w="10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5,190.2</w:t>
            </w:r>
          </w:p>
        </w:tc>
        <w:tc>
          <w:tcPr>
            <w:tcW w:w="20" w:type="dxa"/>
            <w:vAlign w:val="bottom"/>
          </w:tcPr>
          <w:p>
            <w:pPr>
              <w:spacing w:after="0"/>
              <w:rPr>
                <w:sz w:val="24"/>
                <w:szCs w:val="24"/>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Trade receivables, net</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2,127.8</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2,287.1</w:t>
            </w:r>
          </w:p>
        </w:tc>
        <w:tc>
          <w:tcPr>
            <w:tcW w:w="20" w:type="dxa"/>
            <w:vAlign w:val="bottom"/>
          </w:tcPr>
          <w:p>
            <w:pPr>
              <w:spacing w:after="0"/>
              <w:rPr>
                <w:sz w:val="23"/>
                <w:szCs w:val="23"/>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Contract assets</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1,470.0</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1,520.0</w:t>
            </w:r>
          </w:p>
        </w:tc>
        <w:tc>
          <w:tcPr>
            <w:tcW w:w="20" w:type="dxa"/>
            <w:vAlign w:val="bottom"/>
          </w:tcPr>
          <w:p>
            <w:pPr>
              <w:spacing w:after="0"/>
              <w:rPr>
                <w:sz w:val="23"/>
                <w:szCs w:val="23"/>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Inventories, net</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1,339.1</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1,416.0</w:t>
            </w:r>
          </w:p>
        </w:tc>
        <w:tc>
          <w:tcPr>
            <w:tcW w:w="20" w:type="dxa"/>
            <w:vAlign w:val="bottom"/>
          </w:tcPr>
          <w:p>
            <w:pPr>
              <w:spacing w:after="0"/>
              <w:rPr>
                <w:sz w:val="23"/>
                <w:szCs w:val="23"/>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Other current assets</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1,853.2</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1,473.1</w:t>
            </w:r>
          </w:p>
        </w:tc>
        <w:tc>
          <w:tcPr>
            <w:tcW w:w="20" w:type="dxa"/>
            <w:vAlign w:val="bottom"/>
          </w:tcPr>
          <w:p>
            <w:pPr>
              <w:spacing w:after="0"/>
              <w:rPr>
                <w:sz w:val="23"/>
                <w:szCs w:val="23"/>
                <w:color w:val="auto"/>
              </w:rPr>
            </w:pPr>
          </w:p>
        </w:tc>
      </w:tr>
      <w:tr>
        <w:trPr>
          <w:trHeight w:val="27"/>
        </w:trPr>
        <w:tc>
          <w:tcPr>
            <w:tcW w:w="8160" w:type="dxa"/>
            <w:vAlign w:val="bottom"/>
            <w:gridSpan w:val="5"/>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37"/>
        </w:trPr>
        <w:tc>
          <w:tcPr>
            <w:tcW w:w="8160" w:type="dxa"/>
            <w:vAlign w:val="bottom"/>
            <w:gridSpan w:val="5"/>
          </w:tcPr>
          <w:p>
            <w:pPr>
              <w:ind w:left="180"/>
              <w:spacing w:after="0"/>
              <w:rPr>
                <w:sz w:val="20"/>
                <w:szCs w:val="20"/>
                <w:color w:val="auto"/>
              </w:rPr>
            </w:pPr>
            <w:r>
              <w:rPr>
                <w:rFonts w:ascii="Times New Roman" w:cs="Times New Roman" w:eastAsia="Times New Roman" w:hAnsi="Times New Roman"/>
                <w:sz w:val="18"/>
                <w:szCs w:val="18"/>
                <w:color w:val="auto"/>
              </w:rPr>
              <w:t>Total current assets</w:t>
            </w:r>
          </w:p>
        </w:tc>
        <w:tc>
          <w:tcPr>
            <w:tcW w:w="18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11,034.1</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11,886.4</w:t>
            </w:r>
          </w:p>
        </w:tc>
        <w:tc>
          <w:tcPr>
            <w:tcW w:w="20" w:type="dxa"/>
            <w:vAlign w:val="bottom"/>
          </w:tcPr>
          <w:p>
            <w:pPr>
              <w:spacing w:after="0"/>
              <w:rPr>
                <w:sz w:val="20"/>
                <w:szCs w:val="20"/>
                <w:color w:val="auto"/>
              </w:rPr>
            </w:pPr>
          </w:p>
        </w:tc>
      </w:tr>
      <w:tr>
        <w:trPr>
          <w:trHeight w:val="486"/>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Property, plant and equipment, net</w:t>
            </w:r>
          </w:p>
        </w:tc>
        <w:tc>
          <w:tcPr>
            <w:tcW w:w="18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2,806.4</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3,162.0</w:t>
            </w:r>
          </w:p>
        </w:tc>
        <w:tc>
          <w:tcPr>
            <w:tcW w:w="20" w:type="dxa"/>
            <w:vAlign w:val="bottom"/>
          </w:tcPr>
          <w:p>
            <w:pPr>
              <w:spacing w:after="0"/>
              <w:rPr>
                <w:sz w:val="24"/>
                <w:szCs w:val="24"/>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Goodwill</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2,488.7</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5,598.3</w:t>
            </w:r>
          </w:p>
        </w:tc>
        <w:tc>
          <w:tcPr>
            <w:tcW w:w="20" w:type="dxa"/>
            <w:vAlign w:val="bottom"/>
          </w:tcPr>
          <w:p>
            <w:pPr>
              <w:spacing w:after="0"/>
              <w:rPr>
                <w:sz w:val="23"/>
                <w:szCs w:val="23"/>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Intangible assets, net</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1,002.3</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1,086.6</w:t>
            </w:r>
          </w:p>
        </w:tc>
        <w:tc>
          <w:tcPr>
            <w:tcW w:w="20" w:type="dxa"/>
            <w:vAlign w:val="bottom"/>
          </w:tcPr>
          <w:p>
            <w:pPr>
              <w:spacing w:after="0"/>
              <w:rPr>
                <w:sz w:val="23"/>
                <w:szCs w:val="23"/>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Other assets</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1,579.7</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1,785.5</w:t>
            </w:r>
          </w:p>
        </w:tc>
        <w:tc>
          <w:tcPr>
            <w:tcW w:w="20" w:type="dxa"/>
            <w:vAlign w:val="bottom"/>
          </w:tcPr>
          <w:p>
            <w:pPr>
              <w:spacing w:after="0"/>
              <w:rPr>
                <w:sz w:val="23"/>
                <w:szCs w:val="23"/>
                <w:color w:val="auto"/>
              </w:rPr>
            </w:pPr>
          </w:p>
        </w:tc>
      </w:tr>
      <w:tr>
        <w:trPr>
          <w:trHeight w:val="27"/>
        </w:trPr>
        <w:tc>
          <w:tcPr>
            <w:tcW w:w="8160" w:type="dxa"/>
            <w:vAlign w:val="bottom"/>
            <w:gridSpan w:val="5"/>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63"/>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18,911.2</w:t>
            </w:r>
          </w:p>
        </w:tc>
        <w:tc>
          <w:tcPr>
            <w:tcW w:w="100" w:type="dxa"/>
            <w:vAlign w:val="bottom"/>
          </w:tcPr>
          <w:p>
            <w:pPr>
              <w:spacing w:after="0"/>
              <w:rPr>
                <w:sz w:val="22"/>
                <w:szCs w:val="22"/>
                <w:color w:val="auto"/>
              </w:rPr>
            </w:pPr>
          </w:p>
        </w:tc>
        <w:tc>
          <w:tcPr>
            <w:tcW w:w="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23,518.8</w:t>
            </w:r>
          </w:p>
        </w:tc>
        <w:tc>
          <w:tcPr>
            <w:tcW w:w="20" w:type="dxa"/>
            <w:vAlign w:val="bottom"/>
          </w:tcPr>
          <w:p>
            <w:pPr>
              <w:spacing w:after="0"/>
              <w:rPr>
                <w:sz w:val="22"/>
                <w:szCs w:val="22"/>
                <w:color w:val="auto"/>
              </w:rPr>
            </w:pPr>
          </w:p>
        </w:tc>
      </w:tr>
      <w:tr>
        <w:trPr>
          <w:trHeight w:val="20"/>
        </w:trPr>
        <w:tc>
          <w:tcPr>
            <w:tcW w:w="8160" w:type="dxa"/>
            <w:vAlign w:val="bottom"/>
            <w:gridSpan w:val="5"/>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26"/>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Short-term debt and current portion of long-term debt</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612.2</w:t>
            </w:r>
          </w:p>
        </w:tc>
        <w:tc>
          <w:tcPr>
            <w:tcW w:w="10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495.4</w:t>
            </w:r>
          </w:p>
        </w:tc>
        <w:tc>
          <w:tcPr>
            <w:tcW w:w="20" w:type="dxa"/>
            <w:vAlign w:val="bottom"/>
          </w:tcPr>
          <w:p>
            <w:pPr>
              <w:spacing w:after="0"/>
              <w:rPr>
                <w:sz w:val="24"/>
                <w:szCs w:val="24"/>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Accounts payable, trade</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2,498.4</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2,659.8</w:t>
            </w:r>
          </w:p>
        </w:tc>
        <w:tc>
          <w:tcPr>
            <w:tcW w:w="20" w:type="dxa"/>
            <w:vAlign w:val="bottom"/>
          </w:tcPr>
          <w:p>
            <w:pPr>
              <w:spacing w:after="0"/>
              <w:rPr>
                <w:sz w:val="23"/>
                <w:szCs w:val="23"/>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Contract liabilities</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4,643.4</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4,585.1</w:t>
            </w:r>
          </w:p>
        </w:tc>
        <w:tc>
          <w:tcPr>
            <w:tcW w:w="20" w:type="dxa"/>
            <w:vAlign w:val="bottom"/>
          </w:tcPr>
          <w:p>
            <w:pPr>
              <w:spacing w:after="0"/>
              <w:rPr>
                <w:sz w:val="23"/>
                <w:szCs w:val="23"/>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Other current liabilities</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2,263.2</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2,398.1</w:t>
            </w:r>
          </w:p>
        </w:tc>
        <w:tc>
          <w:tcPr>
            <w:tcW w:w="20" w:type="dxa"/>
            <w:vAlign w:val="bottom"/>
          </w:tcPr>
          <w:p>
            <w:pPr>
              <w:spacing w:after="0"/>
              <w:rPr>
                <w:sz w:val="23"/>
                <w:szCs w:val="23"/>
                <w:color w:val="auto"/>
              </w:rPr>
            </w:pPr>
          </w:p>
        </w:tc>
      </w:tr>
      <w:tr>
        <w:trPr>
          <w:trHeight w:val="27"/>
        </w:trPr>
        <w:tc>
          <w:tcPr>
            <w:tcW w:w="8160" w:type="dxa"/>
            <w:vAlign w:val="bottom"/>
            <w:gridSpan w:val="5"/>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37"/>
        </w:trPr>
        <w:tc>
          <w:tcPr>
            <w:tcW w:w="8160" w:type="dxa"/>
            <w:vAlign w:val="bottom"/>
            <w:gridSpan w:val="5"/>
          </w:tcPr>
          <w:p>
            <w:pPr>
              <w:ind w:left="18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18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10,017.2</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10,138.4</w:t>
            </w:r>
          </w:p>
        </w:tc>
        <w:tc>
          <w:tcPr>
            <w:tcW w:w="20" w:type="dxa"/>
            <w:vAlign w:val="bottom"/>
          </w:tcPr>
          <w:p>
            <w:pPr>
              <w:spacing w:after="0"/>
              <w:rPr>
                <w:sz w:val="20"/>
                <w:szCs w:val="20"/>
                <w:color w:val="auto"/>
              </w:rPr>
            </w:pPr>
          </w:p>
        </w:tc>
      </w:tr>
      <w:tr>
        <w:trPr>
          <w:trHeight w:val="486"/>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Long-term debt, less current portion</w:t>
            </w:r>
          </w:p>
        </w:tc>
        <w:tc>
          <w:tcPr>
            <w:tcW w:w="18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3,248.0</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3,980.0</w:t>
            </w:r>
          </w:p>
        </w:tc>
        <w:tc>
          <w:tcPr>
            <w:tcW w:w="20" w:type="dxa"/>
            <w:vAlign w:val="bottom"/>
          </w:tcPr>
          <w:p>
            <w:pPr>
              <w:spacing w:after="0"/>
              <w:rPr>
                <w:sz w:val="24"/>
                <w:szCs w:val="24"/>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1,370.2</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1,671.2</w:t>
            </w:r>
          </w:p>
        </w:tc>
        <w:tc>
          <w:tcPr>
            <w:tcW w:w="20" w:type="dxa"/>
            <w:vAlign w:val="bottom"/>
          </w:tcPr>
          <w:p>
            <w:pPr>
              <w:spacing w:after="0"/>
              <w:rPr>
                <w:sz w:val="23"/>
                <w:szCs w:val="23"/>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Redeemable non-controlling interest</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42.1</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41.1</w:t>
            </w:r>
          </w:p>
        </w:tc>
        <w:tc>
          <w:tcPr>
            <w:tcW w:w="20" w:type="dxa"/>
            <w:vAlign w:val="bottom"/>
          </w:tcPr>
          <w:p>
            <w:pPr>
              <w:spacing w:after="0"/>
              <w:rPr>
                <w:sz w:val="23"/>
                <w:szCs w:val="23"/>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TechnipFMC plc stockholders’ equity</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4,189.1</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7,659.3</w:t>
            </w:r>
          </w:p>
        </w:tc>
        <w:tc>
          <w:tcPr>
            <w:tcW w:w="20" w:type="dxa"/>
            <w:vAlign w:val="bottom"/>
          </w:tcPr>
          <w:p>
            <w:pPr>
              <w:spacing w:after="0"/>
              <w:rPr>
                <w:sz w:val="23"/>
                <w:szCs w:val="23"/>
                <w:color w:val="auto"/>
              </w:rPr>
            </w:pPr>
          </w:p>
        </w:tc>
      </w:tr>
      <w:tr>
        <w:trPr>
          <w:trHeight w:val="270"/>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Non-controlling interests</w:t>
            </w:r>
          </w:p>
        </w:tc>
        <w:tc>
          <w:tcPr>
            <w:tcW w:w="18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44.6</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28.8</w:t>
            </w:r>
          </w:p>
        </w:tc>
        <w:tc>
          <w:tcPr>
            <w:tcW w:w="20" w:type="dxa"/>
            <w:vAlign w:val="bottom"/>
          </w:tcPr>
          <w:p>
            <w:pPr>
              <w:spacing w:after="0"/>
              <w:rPr>
                <w:sz w:val="23"/>
                <w:szCs w:val="23"/>
                <w:color w:val="auto"/>
              </w:rPr>
            </w:pPr>
          </w:p>
        </w:tc>
      </w:tr>
      <w:tr>
        <w:trPr>
          <w:trHeight w:val="27"/>
        </w:trPr>
        <w:tc>
          <w:tcPr>
            <w:tcW w:w="8160" w:type="dxa"/>
            <w:vAlign w:val="bottom"/>
            <w:gridSpan w:val="5"/>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63"/>
        </w:trPr>
        <w:tc>
          <w:tcPr>
            <w:tcW w:w="8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Total liabilities and equity</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18,911.2</w:t>
            </w:r>
          </w:p>
        </w:tc>
        <w:tc>
          <w:tcPr>
            <w:tcW w:w="100" w:type="dxa"/>
            <w:vAlign w:val="bottom"/>
          </w:tcPr>
          <w:p>
            <w:pPr>
              <w:spacing w:after="0"/>
              <w:rPr>
                <w:sz w:val="22"/>
                <w:szCs w:val="22"/>
                <w:color w:val="auto"/>
              </w:rPr>
            </w:pPr>
          </w:p>
        </w:tc>
        <w:tc>
          <w:tcPr>
            <w:tcW w:w="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23,518.8</w:t>
            </w:r>
          </w:p>
        </w:tc>
        <w:tc>
          <w:tcPr>
            <w:tcW w:w="20" w:type="dxa"/>
            <w:vAlign w:val="bottom"/>
          </w:tcPr>
          <w:p>
            <w:pPr>
              <w:spacing w:after="0"/>
              <w:rPr>
                <w:sz w:val="22"/>
                <w:szCs w:val="22"/>
                <w:color w:val="auto"/>
              </w:rPr>
            </w:pPr>
          </w:p>
        </w:tc>
      </w:tr>
      <w:tr>
        <w:trPr>
          <w:trHeight w:val="20"/>
        </w:trPr>
        <w:tc>
          <w:tcPr>
            <w:tcW w:w="3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5000"/>
        <w:spacing w:after="0"/>
        <w:tabs>
          <w:tab w:leader="none" w:pos="1022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18 of 26</w:t>
      </w:r>
    </w:p>
    <w:p>
      <w:pPr>
        <w:sectPr>
          <w:pgSz w:w="11900" w:h="16838" w:orient="portrait"/>
          <w:cols w:equalWidth="0" w:num="1">
            <w:col w:w="11200"/>
          </w:cols>
          <w:pgMar w:left="360" w:top="1051" w:right="339" w:bottom="1440" w:gutter="0" w:footer="0" w:header="0"/>
        </w:sectPr>
      </w:pPr>
    </w:p>
    <w:bookmarkStart w:id="22" w:name="page23"/>
    <w:bookmarkEnd w:id="22"/>
    <w:tbl>
      <w:tblPr>
        <w:tblLayout w:type="fixed"/>
        <w:tblInd w:w="0" w:type="dxa"/>
        <w:tblCellMar>
          <w:top w:w="0" w:type="dxa"/>
          <w:left w:w="0" w:type="dxa"/>
          <w:bottom w:w="0" w:type="dxa"/>
          <w:right w:w="0" w:type="dxa"/>
        </w:tblCellMar>
      </w:tblPr>
      <w:tr>
        <w:trPr>
          <w:trHeight w:val="166"/>
        </w:trPr>
        <w:tc>
          <w:tcPr>
            <w:tcW w:w="33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960" w:type="dxa"/>
            <w:vAlign w:val="bottom"/>
            <w:gridSpan w:val="2"/>
          </w:tcPr>
          <w:p>
            <w:pPr>
              <w:ind w:left="460"/>
              <w:spacing w:after="0"/>
              <w:rPr>
                <w:sz w:val="20"/>
                <w:szCs w:val="20"/>
                <w:color w:val="auto"/>
              </w:rPr>
            </w:pPr>
            <w:r>
              <w:rPr>
                <w:rFonts w:ascii="Times New Roman" w:cs="Times New Roman" w:eastAsia="Times New Roman" w:hAnsi="Times New Roman"/>
                <w:sz w:val="13"/>
                <w:szCs w:val="13"/>
                <w:b w:val="1"/>
                <w:bCs w:val="1"/>
                <w:color w:val="auto"/>
                <w:w w:val="94"/>
              </w:rPr>
              <w:t>Exhibit 5</w:t>
            </w:r>
          </w:p>
        </w:tc>
        <w:tc>
          <w:tcPr>
            <w:tcW w:w="0" w:type="dxa"/>
            <w:vAlign w:val="bottom"/>
          </w:tcPr>
          <w:p>
            <w:pPr>
              <w:spacing w:after="0"/>
              <w:rPr>
                <w:sz w:val="1"/>
                <w:szCs w:val="1"/>
                <w:color w:val="auto"/>
              </w:rPr>
            </w:pPr>
          </w:p>
        </w:tc>
      </w:tr>
      <w:tr>
        <w:trPr>
          <w:trHeight w:val="326"/>
        </w:trPr>
        <w:tc>
          <w:tcPr>
            <w:tcW w:w="3380" w:type="dxa"/>
            <w:vAlign w:val="bottom"/>
          </w:tcPr>
          <w:p>
            <w:pPr>
              <w:spacing w:after="0"/>
              <w:rPr>
                <w:sz w:val="24"/>
                <w:szCs w:val="24"/>
                <w:color w:val="auto"/>
              </w:rPr>
            </w:pPr>
          </w:p>
        </w:tc>
        <w:tc>
          <w:tcPr>
            <w:tcW w:w="4400" w:type="dxa"/>
            <w:vAlign w:val="bottom"/>
            <w:tcBorders>
              <w:bottom w:val="single" w:sz="8" w:color="auto"/>
            </w:tcBorders>
            <w:gridSpan w:val="3"/>
          </w:tcPr>
          <w:p>
            <w:pPr>
              <w:jc w:val="center"/>
              <w:spacing w:after="0"/>
              <w:rPr>
                <w:sz w:val="20"/>
                <w:szCs w:val="20"/>
                <w:color w:val="auto"/>
              </w:rPr>
            </w:pPr>
            <w:r>
              <w:rPr>
                <w:rFonts w:ascii="Times New Roman" w:cs="Times New Roman" w:eastAsia="Times New Roman" w:hAnsi="Times New Roman"/>
                <w:sz w:val="16"/>
                <w:szCs w:val="16"/>
                <w:b w:val="1"/>
                <w:bCs w:val="1"/>
                <w:color w:val="auto"/>
              </w:rPr>
              <w:t>TECHNIPFMC PLC AND CONSOLIDATED SUBSIDIARIES</w:t>
            </w: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3380" w:type="dxa"/>
            <w:vAlign w:val="bottom"/>
          </w:tcPr>
          <w:p>
            <w:pPr>
              <w:spacing w:after="0"/>
              <w:rPr>
                <w:sz w:val="14"/>
                <w:szCs w:val="14"/>
                <w:color w:val="auto"/>
              </w:rPr>
            </w:pPr>
          </w:p>
        </w:tc>
        <w:tc>
          <w:tcPr>
            <w:tcW w:w="4400" w:type="dxa"/>
            <w:vAlign w:val="bottom"/>
            <w:gridSpan w:val="3"/>
          </w:tcPr>
          <w:p>
            <w:pPr>
              <w:jc w:val="center"/>
              <w:spacing w:after="0" w:line="169" w:lineRule="exact"/>
              <w:rPr>
                <w:sz w:val="20"/>
                <w:szCs w:val="20"/>
                <w:color w:val="auto"/>
              </w:rPr>
            </w:pPr>
            <w:r>
              <w:rPr>
                <w:rFonts w:ascii="Times New Roman" w:cs="Times New Roman" w:eastAsia="Times New Roman" w:hAnsi="Times New Roman"/>
                <w:sz w:val="16"/>
                <w:szCs w:val="16"/>
                <w:b w:val="1"/>
                <w:bCs w:val="1"/>
                <w:color w:val="auto"/>
              </w:rPr>
              <w:t>CONSOLIDATED STATEMENTS OF CASH FLOWS</w:t>
            </w:r>
          </w:p>
        </w:tc>
        <w:tc>
          <w:tcPr>
            <w:tcW w:w="3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33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8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(In millions)</w:t>
            </w:r>
          </w:p>
        </w:tc>
        <w:tc>
          <w:tcPr>
            <w:tcW w:w="3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49"/>
        </w:trPr>
        <w:tc>
          <w:tcPr>
            <w:tcW w:w="3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40" w:type="dxa"/>
            <w:vAlign w:val="bottom"/>
            <w:gridSpan w:val="3"/>
          </w:tcPr>
          <w:p>
            <w:pPr>
              <w:jc w:val="center"/>
              <w:ind w:left="539"/>
              <w:spacing w:after="0"/>
              <w:rPr>
                <w:sz w:val="20"/>
                <w:szCs w:val="20"/>
                <w:color w:val="auto"/>
              </w:rPr>
            </w:pPr>
            <w:r>
              <w:rPr>
                <w:rFonts w:ascii="Times New Roman" w:cs="Times New Roman" w:eastAsia="Times New Roman" w:hAnsi="Times New Roman"/>
                <w:sz w:val="16"/>
                <w:szCs w:val="16"/>
                <w:b w:val="1"/>
                <w:bCs w:val="1"/>
                <w:color w:val="auto"/>
              </w:rPr>
              <w:t>(Unaudited)</w:t>
            </w: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
        </w:trPr>
        <w:tc>
          <w:tcPr>
            <w:tcW w:w="338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680" w:type="dxa"/>
            <w:vAlign w:val="bottom"/>
            <w:tcBorders>
              <w:bottom w:val="single" w:sz="8" w:color="auto"/>
            </w:tcBorders>
            <w:gridSpan w:val="4"/>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3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700" w:type="dxa"/>
            <w:vAlign w:val="bottom"/>
            <w:gridSpan w:val="5"/>
          </w:tcPr>
          <w:p>
            <w:pPr>
              <w:jc w:val="center"/>
              <w:ind w:right="360"/>
              <w:spacing w:after="0"/>
              <w:rPr>
                <w:sz w:val="20"/>
                <w:szCs w:val="20"/>
                <w:color w:val="auto"/>
              </w:rPr>
            </w:pPr>
            <w:r>
              <w:rPr>
                <w:rFonts w:ascii="Times New Roman" w:cs="Times New Roman" w:eastAsia="Times New Roman" w:hAnsi="Times New Roman"/>
                <w:sz w:val="16"/>
                <w:szCs w:val="16"/>
                <w:b w:val="1"/>
                <w:bCs w:val="1"/>
                <w:color w:val="auto"/>
              </w:rPr>
              <w:t>Nine Months Ended</w:t>
            </w:r>
          </w:p>
        </w:tc>
        <w:tc>
          <w:tcPr>
            <w:tcW w:w="0" w:type="dxa"/>
            <w:vAlign w:val="bottom"/>
          </w:tcPr>
          <w:p>
            <w:pPr>
              <w:spacing w:after="0"/>
              <w:rPr>
                <w:sz w:val="1"/>
                <w:szCs w:val="1"/>
                <w:color w:val="auto"/>
              </w:rPr>
            </w:pPr>
          </w:p>
        </w:tc>
      </w:tr>
      <w:tr>
        <w:trPr>
          <w:trHeight w:val="256"/>
        </w:trPr>
        <w:tc>
          <w:tcPr>
            <w:tcW w:w="33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8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740" w:type="dxa"/>
            <w:vAlign w:val="bottom"/>
            <w:gridSpan w:val="3"/>
          </w:tcPr>
          <w:p>
            <w:pPr>
              <w:jc w:val="center"/>
              <w:ind w:left="519"/>
              <w:spacing w:after="0"/>
              <w:rPr>
                <w:sz w:val="20"/>
                <w:szCs w:val="20"/>
                <w:color w:val="auto"/>
              </w:rPr>
            </w:pPr>
            <w:r>
              <w:rPr>
                <w:rFonts w:ascii="Times New Roman" w:cs="Times New Roman" w:eastAsia="Times New Roman" w:hAnsi="Times New Roman"/>
                <w:sz w:val="16"/>
                <w:szCs w:val="16"/>
                <w:b w:val="1"/>
                <w:bCs w:val="1"/>
                <w:color w:val="auto"/>
              </w:rPr>
              <w:t>September 30,</w:t>
            </w:r>
          </w:p>
        </w:tc>
        <w:tc>
          <w:tcPr>
            <w:tcW w:w="9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3"/>
        </w:trPr>
        <w:tc>
          <w:tcPr>
            <w:tcW w:w="338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3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jc w:val="right"/>
              <w:ind w:right="479"/>
              <w:spacing w:after="0"/>
              <w:rPr>
                <w:sz w:val="20"/>
                <w:szCs w:val="20"/>
                <w:color w:val="auto"/>
              </w:rPr>
            </w:pPr>
            <w:r>
              <w:rPr>
                <w:rFonts w:ascii="Times New Roman" w:cs="Times New Roman" w:eastAsia="Times New Roman" w:hAnsi="Times New Roman"/>
                <w:sz w:val="16"/>
                <w:szCs w:val="16"/>
                <w:b w:val="1"/>
                <w:bCs w:val="1"/>
                <w:color w:val="auto"/>
              </w:rPr>
              <w:t>2020</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tcPr>
          <w:p>
            <w:pPr>
              <w:jc w:val="right"/>
              <w:ind w:right="479"/>
              <w:spacing w:after="0"/>
              <w:rPr>
                <w:sz w:val="20"/>
                <w:szCs w:val="20"/>
                <w:color w:val="auto"/>
              </w:rPr>
            </w:pPr>
            <w:r>
              <w:rPr>
                <w:rFonts w:ascii="Times New Roman" w:cs="Times New Roman" w:eastAsia="Times New Roman" w:hAnsi="Times New Roman"/>
                <w:sz w:val="16"/>
                <w:szCs w:val="16"/>
                <w:b w:val="1"/>
                <w:bCs w:val="1"/>
                <w:color w:val="auto"/>
              </w:rPr>
              <w:t>2019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7780" w:type="dxa"/>
            <w:vAlign w:val="bottom"/>
            <w:gridSpan w:val="4"/>
            <w:vMerge w:val="restart"/>
          </w:tcPr>
          <w:p>
            <w:pPr>
              <w:spacing w:after="0"/>
              <w:rPr>
                <w:sz w:val="20"/>
                <w:szCs w:val="20"/>
                <w:color w:val="auto"/>
              </w:rPr>
            </w:pPr>
            <w:r>
              <w:rPr>
                <w:rFonts w:ascii="Times New Roman" w:cs="Times New Roman" w:eastAsia="Times New Roman" w:hAnsi="Times New Roman"/>
                <w:sz w:val="16"/>
                <w:szCs w:val="16"/>
                <w:color w:val="auto"/>
              </w:rPr>
              <w:t>Cash provided (required) by operating activities</w:t>
            </w:r>
          </w:p>
        </w:tc>
        <w:tc>
          <w:tcPr>
            <w:tcW w:w="3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7780" w:type="dxa"/>
            <w:vAlign w:val="bottom"/>
            <w:gridSpan w:val="4"/>
            <w:vMerge w:val="continue"/>
          </w:tcPr>
          <w:p>
            <w:pPr>
              <w:spacing w:after="0"/>
              <w:rPr>
                <w:sz w:val="17"/>
                <w:szCs w:val="17"/>
                <w:color w:val="auto"/>
              </w:rPr>
            </w:pPr>
          </w:p>
        </w:tc>
        <w:tc>
          <w:tcPr>
            <w:tcW w:w="3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100"/>
              <w:spacing w:after="0"/>
              <w:rPr>
                <w:sz w:val="20"/>
                <w:szCs w:val="20"/>
                <w:color w:val="auto"/>
              </w:rPr>
            </w:pPr>
            <w:r>
              <w:rPr>
                <w:rFonts w:ascii="Times New Roman" w:cs="Times New Roman" w:eastAsia="Times New Roman" w:hAnsi="Times New Roman"/>
                <w:sz w:val="16"/>
                <w:szCs w:val="16"/>
                <w:color w:val="auto"/>
              </w:rPr>
              <w:t>Net income (loss)</w:t>
            </w:r>
          </w:p>
        </w:tc>
        <w:tc>
          <w:tcPr>
            <w:tcW w:w="720" w:type="dxa"/>
            <w:vAlign w:val="bottom"/>
            <w:gridSpan w:val="2"/>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(3,224.0)</w:t>
            </w:r>
          </w:p>
        </w:tc>
        <w:tc>
          <w:tcPr>
            <w:tcW w:w="100" w:type="dxa"/>
            <w:vAlign w:val="bottom"/>
          </w:tcPr>
          <w:p>
            <w:pPr>
              <w:spacing w:after="0"/>
              <w:rPr>
                <w:sz w:val="22"/>
                <w:szCs w:val="22"/>
                <w:color w:val="auto"/>
              </w:rPr>
            </w:pPr>
          </w:p>
        </w:tc>
        <w:tc>
          <w:tcPr>
            <w:tcW w:w="520" w:type="dxa"/>
            <w:vAlign w:val="bottom"/>
          </w:tcPr>
          <w:p>
            <w:pPr>
              <w:jc w:val="right"/>
              <w:ind w:right="339"/>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18.2</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spacing w:after="0"/>
              <w:rPr>
                <w:sz w:val="20"/>
                <w:szCs w:val="20"/>
                <w:color w:val="auto"/>
              </w:rPr>
            </w:pPr>
            <w:r>
              <w:rPr>
                <w:rFonts w:ascii="Times New Roman" w:cs="Times New Roman" w:eastAsia="Times New Roman" w:hAnsi="Times New Roman"/>
                <w:sz w:val="16"/>
                <w:szCs w:val="16"/>
                <w:color w:val="auto"/>
              </w:rPr>
              <w:t>Adjustments to reconcile net income to cash provided (required) by operating activities</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Depreciation</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244.5</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282.5</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Amortization</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91.0</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96.0</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Impairments</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3,253.0</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127.5</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Employee benefit plan and share-based compensation costs</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43.0</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54.2</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Deferred income tax benefit, net</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(33.5)</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(122.6)</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Unrealized loss (gain) on derivative instruments and foreign exchange</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(26.1)</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108.2</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Income from equity affiliates, net of dividends received</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(48.0)</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(49.6)</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Other</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182.4</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307.6</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spacing w:after="0"/>
              <w:rPr>
                <w:sz w:val="20"/>
                <w:szCs w:val="20"/>
                <w:color w:val="auto"/>
              </w:rPr>
            </w:pPr>
            <w:r>
              <w:rPr>
                <w:rFonts w:ascii="Times New Roman" w:cs="Times New Roman" w:eastAsia="Times New Roman" w:hAnsi="Times New Roman"/>
                <w:sz w:val="16"/>
                <w:szCs w:val="16"/>
                <w:color w:val="auto"/>
              </w:rPr>
              <w:t>Changes in operating assets and liabilities, net of effects of acquisitions</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Trade receivables, net and contract assets</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120.4</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(23.0)</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Inventories, net</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(23.8)</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(190.6)</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Accounts payable, trade</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(84.6)</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19.4</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Contract liabilities</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(14.3)</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124.8</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Income taxes payable (receivable), net</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(37.0)</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(45.3)</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Other current assets and liabilities, net</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(351.9)</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(431.1)</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Other noncurrent assets and liabilities, net</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11.0</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13.2</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3"/>
        </w:trPr>
        <w:tc>
          <w:tcPr>
            <w:tcW w:w="7780" w:type="dxa"/>
            <w:vAlign w:val="bottom"/>
            <w:gridSpan w:val="4"/>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7780" w:type="dxa"/>
            <w:vAlign w:val="bottom"/>
            <w:gridSpan w:val="4"/>
          </w:tcPr>
          <w:p>
            <w:pPr>
              <w:spacing w:after="0"/>
              <w:rPr>
                <w:sz w:val="20"/>
                <w:szCs w:val="20"/>
                <w:color w:val="auto"/>
              </w:rPr>
            </w:pPr>
            <w:r>
              <w:rPr>
                <w:rFonts w:ascii="Times New Roman" w:cs="Times New Roman" w:eastAsia="Times New Roman" w:hAnsi="Times New Roman"/>
                <w:sz w:val="16"/>
                <w:szCs w:val="16"/>
                <w:color w:val="auto"/>
              </w:rPr>
              <w:t>Cash provided by operating activities</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102.1</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289.4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7780" w:type="dxa"/>
            <w:vAlign w:val="bottom"/>
            <w:gridSpan w:val="4"/>
            <w:vMerge w:val="restart"/>
          </w:tcPr>
          <w:p>
            <w:pPr>
              <w:spacing w:after="0"/>
              <w:rPr>
                <w:sz w:val="20"/>
                <w:szCs w:val="20"/>
                <w:color w:val="auto"/>
              </w:rPr>
            </w:pPr>
            <w:r>
              <w:rPr>
                <w:rFonts w:ascii="Times New Roman" w:cs="Times New Roman" w:eastAsia="Times New Roman" w:hAnsi="Times New Roman"/>
                <w:sz w:val="16"/>
                <w:szCs w:val="16"/>
                <w:color w:val="auto"/>
              </w:rPr>
              <w:t>Cash provided (required) by investing activities</w:t>
            </w:r>
          </w:p>
        </w:tc>
        <w:tc>
          <w:tcPr>
            <w:tcW w:w="3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420"/>
        </w:trPr>
        <w:tc>
          <w:tcPr>
            <w:tcW w:w="7780" w:type="dxa"/>
            <w:vAlign w:val="bottom"/>
            <w:gridSpan w:val="4"/>
            <w:vMerge w:val="continue"/>
          </w:tcPr>
          <w:p>
            <w:pPr>
              <w:spacing w:after="0"/>
              <w:rPr>
                <w:sz w:val="24"/>
                <w:szCs w:val="24"/>
                <w:color w:val="auto"/>
              </w:rPr>
            </w:pP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Capital expenditures</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(250.8)</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(368.4)</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Payment to acquire debt securities</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(59.7)</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Proceeds from sale of debt securities</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18.9</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Cash received from divestiture</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Proceeds from sale of assets</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23.4</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5.6</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Proceeds from repayment of advance to joint venture</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12.5</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46.4</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3"/>
        </w:trPr>
        <w:tc>
          <w:tcPr>
            <w:tcW w:w="7780" w:type="dxa"/>
            <w:vAlign w:val="bottom"/>
            <w:gridSpan w:val="4"/>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7780" w:type="dxa"/>
            <w:vAlign w:val="bottom"/>
            <w:gridSpan w:val="4"/>
          </w:tcPr>
          <w:p>
            <w:pPr>
              <w:spacing w:after="0"/>
              <w:rPr>
                <w:sz w:val="20"/>
                <w:szCs w:val="20"/>
                <w:color w:val="auto"/>
              </w:rPr>
            </w:pPr>
            <w:r>
              <w:rPr>
                <w:rFonts w:ascii="Times New Roman" w:cs="Times New Roman" w:eastAsia="Times New Roman" w:hAnsi="Times New Roman"/>
                <w:sz w:val="16"/>
                <w:szCs w:val="16"/>
                <w:color w:val="auto"/>
              </w:rPr>
              <w:t>Cash required by investing activities</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(212.4)</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7780" w:type="dxa"/>
            <w:vAlign w:val="bottom"/>
            <w:gridSpan w:val="4"/>
            <w:vMerge w:val="restart"/>
          </w:tcPr>
          <w:p>
            <w:pPr>
              <w:spacing w:after="0"/>
              <w:rPr>
                <w:sz w:val="20"/>
                <w:szCs w:val="20"/>
                <w:color w:val="auto"/>
              </w:rPr>
            </w:pPr>
            <w:r>
              <w:rPr>
                <w:rFonts w:ascii="Times New Roman" w:cs="Times New Roman" w:eastAsia="Times New Roman" w:hAnsi="Times New Roman"/>
                <w:sz w:val="16"/>
                <w:szCs w:val="16"/>
                <w:color w:val="auto"/>
              </w:rPr>
              <w:t>Cash required by financing activities</w:t>
            </w:r>
          </w:p>
        </w:tc>
        <w:tc>
          <w:tcPr>
            <w:tcW w:w="3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419"/>
        </w:trPr>
        <w:tc>
          <w:tcPr>
            <w:tcW w:w="7780" w:type="dxa"/>
            <w:vAlign w:val="bottom"/>
            <w:gridSpan w:val="4"/>
            <w:vMerge w:val="continue"/>
          </w:tcPr>
          <w:p>
            <w:pPr>
              <w:spacing w:after="0"/>
              <w:rPr>
                <w:sz w:val="24"/>
                <w:szCs w:val="24"/>
                <w:color w:val="auto"/>
              </w:rPr>
            </w:pP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Net decrease in short-term debt</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(7.2)</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(28.5)</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Net decrease in commercial paper</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(503.0)</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(255.5)</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Proceeds from issuance of long-term debt</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223.2</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96.2</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Repayments of long-term debt</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(423.9)</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Purchase of ordinary shares</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(92.7)</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Dividends paid</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(59.2)</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(174.7)</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Payments related to taxes withheld on share-based compensation</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(6.4)</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56"/>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Settlements of mandatorily redeemable financial liability</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(135.3)</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(443.7)</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3"/>
        </w:trPr>
        <w:tc>
          <w:tcPr>
            <w:tcW w:w="7780" w:type="dxa"/>
            <w:vAlign w:val="bottom"/>
            <w:gridSpan w:val="4"/>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7780" w:type="dxa"/>
            <w:vAlign w:val="bottom"/>
            <w:gridSpan w:val="4"/>
          </w:tcPr>
          <w:p>
            <w:pPr>
              <w:spacing w:after="0"/>
              <w:rPr>
                <w:sz w:val="20"/>
                <w:szCs w:val="20"/>
                <w:color w:val="auto"/>
              </w:rPr>
            </w:pPr>
            <w:r>
              <w:rPr>
                <w:rFonts w:ascii="Times New Roman" w:cs="Times New Roman" w:eastAsia="Times New Roman" w:hAnsi="Times New Roman"/>
                <w:sz w:val="16"/>
                <w:szCs w:val="16"/>
                <w:color w:val="auto"/>
              </w:rPr>
              <w:t>Cash required by financing activities</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(911.8)</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(898.9)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7780" w:type="dxa"/>
            <w:vAlign w:val="bottom"/>
            <w:gridSpan w:val="4"/>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Effect of changes in foreign exchange rates on cash and cash equivalents</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75.9</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7780" w:type="dxa"/>
            <w:vAlign w:val="bottom"/>
            <w:gridSpan w:val="4"/>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7780" w:type="dxa"/>
            <w:vAlign w:val="bottom"/>
            <w:gridSpan w:val="4"/>
          </w:tcPr>
          <w:p>
            <w:pPr>
              <w:ind w:left="300"/>
              <w:spacing w:after="0"/>
              <w:rPr>
                <w:sz w:val="20"/>
                <w:szCs w:val="20"/>
                <w:color w:val="auto"/>
              </w:rPr>
            </w:pPr>
            <w:r>
              <w:rPr>
                <w:rFonts w:ascii="Times New Roman" w:cs="Times New Roman" w:eastAsia="Times New Roman" w:hAnsi="Times New Roman"/>
                <w:sz w:val="16"/>
                <w:szCs w:val="16"/>
                <w:color w:val="auto"/>
              </w:rPr>
              <w:t>Decrease in cash and cash equivalents</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(946.2)</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(1,035.6)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7780" w:type="dxa"/>
            <w:vAlign w:val="bottom"/>
            <w:gridSpan w:val="4"/>
          </w:tcPr>
          <w:p>
            <w:pPr>
              <w:spacing w:after="0"/>
              <w:rPr>
                <w:sz w:val="20"/>
                <w:szCs w:val="20"/>
                <w:color w:val="auto"/>
              </w:rPr>
            </w:pPr>
            <w:r>
              <w:rPr>
                <w:rFonts w:ascii="Times New Roman" w:cs="Times New Roman" w:eastAsia="Times New Roman" w:hAnsi="Times New Roman"/>
                <w:sz w:val="16"/>
                <w:szCs w:val="16"/>
                <w:color w:val="auto"/>
              </w:rPr>
              <w:t>Cash and cash equivalents, beginning of period</w:t>
            </w:r>
          </w:p>
        </w:tc>
        <w:tc>
          <w:tcPr>
            <w:tcW w:w="3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5,190.2</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5,540.0</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3"/>
        </w:trPr>
        <w:tc>
          <w:tcPr>
            <w:tcW w:w="7780" w:type="dxa"/>
            <w:vAlign w:val="bottom"/>
            <w:gridSpan w:val="4"/>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7"/>
        </w:trPr>
        <w:tc>
          <w:tcPr>
            <w:tcW w:w="7780" w:type="dxa"/>
            <w:vAlign w:val="bottom"/>
            <w:gridSpan w:val="4"/>
          </w:tcPr>
          <w:p>
            <w:pPr>
              <w:spacing w:after="0"/>
              <w:rPr>
                <w:sz w:val="20"/>
                <w:szCs w:val="20"/>
                <w:color w:val="auto"/>
              </w:rPr>
            </w:pPr>
            <w:r>
              <w:rPr>
                <w:rFonts w:ascii="Times New Roman" w:cs="Times New Roman" w:eastAsia="Times New Roman" w:hAnsi="Times New Roman"/>
                <w:sz w:val="16"/>
                <w:szCs w:val="16"/>
                <w:color w:val="auto"/>
              </w:rPr>
              <w:t>Cash and cash equivalents, end of period</w:t>
            </w:r>
          </w:p>
        </w:tc>
        <w:tc>
          <w:tcPr>
            <w:tcW w:w="720" w:type="dxa"/>
            <w:vAlign w:val="bottom"/>
            <w:gridSpan w:val="2"/>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4,244.0</w:t>
            </w:r>
          </w:p>
        </w:tc>
        <w:tc>
          <w:tcPr>
            <w:tcW w:w="100" w:type="dxa"/>
            <w:vAlign w:val="bottom"/>
          </w:tcPr>
          <w:p>
            <w:pPr>
              <w:spacing w:after="0"/>
              <w:rPr>
                <w:sz w:val="21"/>
                <w:szCs w:val="21"/>
                <w:color w:val="auto"/>
              </w:rPr>
            </w:pPr>
          </w:p>
        </w:tc>
        <w:tc>
          <w:tcPr>
            <w:tcW w:w="520" w:type="dxa"/>
            <w:vAlign w:val="bottom"/>
          </w:tcPr>
          <w:p>
            <w:pPr>
              <w:jc w:val="right"/>
              <w:ind w:right="339"/>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4,504.4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
        </w:trPr>
        <w:tc>
          <w:tcPr>
            <w:tcW w:w="338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Borders>
              <w:top w:val="single" w:sz="8" w:color="auto"/>
              <w:bottom w:val="single" w:sz="8" w:color="auto"/>
            </w:tcBorders>
          </w:tcPr>
          <w:p>
            <w:pPr>
              <w:spacing w:after="0"/>
              <w:rPr>
                <w:sz w:val="2"/>
                <w:szCs w:val="2"/>
                <w:color w:val="auto"/>
              </w:rPr>
            </w:pPr>
          </w:p>
        </w:tc>
        <w:tc>
          <w:tcPr>
            <w:tcW w:w="112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top w:val="single" w:sz="8" w:color="auto"/>
              <w:bottom w:val="single" w:sz="8" w:color="auto"/>
            </w:tcBorders>
          </w:tcPr>
          <w:p>
            <w:pPr>
              <w:spacing w:after="0"/>
              <w:rPr>
                <w:sz w:val="2"/>
                <w:szCs w:val="2"/>
                <w:color w:val="auto"/>
              </w:rPr>
            </w:pPr>
          </w:p>
        </w:tc>
        <w:tc>
          <w:tcPr>
            <w:tcW w:w="940" w:type="dxa"/>
            <w:vAlign w:val="bottom"/>
            <w:tcBorders>
              <w:top w:val="single" w:sz="8" w:color="auto"/>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200"/>
          </w:cols>
          <w:pgMar w:left="360" w:top="889" w:right="339" w:bottom="1125" w:gutter="0" w:footer="0" w:header="0"/>
        </w:sectPr>
      </w:pPr>
    </w:p>
    <w:p>
      <w:pPr>
        <w:spacing w:after="0" w:line="200" w:lineRule="exact"/>
        <w:rPr>
          <w:sz w:val="20"/>
          <w:szCs w:val="20"/>
          <w:color w:val="auto"/>
        </w:rPr>
      </w:pPr>
    </w:p>
    <w:p>
      <w:pPr>
        <w:spacing w:after="0" w:line="273" w:lineRule="exact"/>
        <w:rPr>
          <w:sz w:val="20"/>
          <w:szCs w:val="20"/>
          <w:color w:val="auto"/>
        </w:rPr>
      </w:pPr>
    </w:p>
    <w:p>
      <w:pPr>
        <w:ind w:left="5000"/>
        <w:spacing w:after="0"/>
        <w:tabs>
          <w:tab w:leader="none" w:pos="1022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19 of 26</w:t>
      </w:r>
    </w:p>
    <w:p>
      <w:pPr>
        <w:sectPr>
          <w:pgSz w:w="11900" w:h="16838" w:orient="portrait"/>
          <w:cols w:equalWidth="0" w:num="1">
            <w:col w:w="11200"/>
          </w:cols>
          <w:pgMar w:left="360" w:top="889" w:right="339" w:bottom="1125" w:gutter="0" w:footer="0" w:header="0"/>
          <w:type w:val="continuous"/>
        </w:sectPr>
      </w:pPr>
    </w:p>
    <w:bookmarkStart w:id="23" w:name="page24"/>
    <w:bookmarkEnd w:id="23"/>
    <w:p>
      <w:pPr>
        <w:jc w:val="right"/>
        <w:spacing w:after="0"/>
        <w:rPr>
          <w:sz w:val="20"/>
          <w:szCs w:val="20"/>
          <w:color w:val="auto"/>
        </w:rPr>
      </w:pPr>
      <w:r>
        <w:rPr>
          <w:rFonts w:ascii="Times New Roman" w:cs="Times New Roman" w:eastAsia="Times New Roman" w:hAnsi="Times New Roman"/>
          <w:sz w:val="13"/>
          <w:szCs w:val="13"/>
          <w:b w:val="1"/>
          <w:bCs w:val="1"/>
          <w:color w:val="auto"/>
        </w:rPr>
        <w:t>Exhibit 6</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140" w:type="dxa"/>
            <w:vAlign w:val="bottom"/>
          </w:tcPr>
          <w:p>
            <w:pPr>
              <w:spacing w:after="0"/>
              <w:rPr>
                <w:sz w:val="17"/>
                <w:szCs w:val="17"/>
                <w:color w:val="auto"/>
              </w:rPr>
            </w:pPr>
          </w:p>
        </w:tc>
        <w:tc>
          <w:tcPr>
            <w:tcW w:w="6420" w:type="dxa"/>
            <w:vAlign w:val="bottom"/>
            <w:gridSpan w:val="5"/>
          </w:tcPr>
          <w:p>
            <w:pPr>
              <w:jc w:val="center"/>
              <w:ind w:right="1540"/>
              <w:spacing w:after="0"/>
              <w:rPr>
                <w:sz w:val="20"/>
                <w:szCs w:val="20"/>
                <w:color w:val="auto"/>
              </w:rPr>
            </w:pPr>
            <w:r>
              <w:rPr>
                <w:rFonts w:ascii="Times New Roman" w:cs="Times New Roman" w:eastAsia="Times New Roman" w:hAnsi="Times New Roman"/>
                <w:sz w:val="18"/>
                <w:szCs w:val="18"/>
                <w:b w:val="1"/>
                <w:bCs w:val="1"/>
                <w:color w:val="auto"/>
                <w:w w:val="99"/>
              </w:rPr>
              <w:t>TECHNIPFMC PLC AND CONSOLIDATED SUBSIDIARIES</w:t>
            </w:r>
          </w:p>
        </w:tc>
        <w:tc>
          <w:tcPr>
            <w:tcW w:w="1620" w:type="dxa"/>
            <w:vAlign w:val="bottom"/>
          </w:tcPr>
          <w:p>
            <w:pPr>
              <w:spacing w:after="0"/>
              <w:rPr>
                <w:sz w:val="17"/>
                <w:szCs w:val="17"/>
                <w:color w:val="auto"/>
              </w:rPr>
            </w:pPr>
          </w:p>
        </w:tc>
      </w:tr>
      <w:tr>
        <w:trPr>
          <w:trHeight w:val="196"/>
        </w:trPr>
        <w:tc>
          <w:tcPr>
            <w:tcW w:w="3140" w:type="dxa"/>
            <w:vAlign w:val="bottom"/>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3840" w:type="dxa"/>
            <w:vAlign w:val="bottom"/>
            <w:tcBorders>
              <w:top w:val="single" w:sz="8" w:color="auto"/>
            </w:tcBorders>
            <w:gridSpan w:val="2"/>
          </w:tcPr>
          <w:p>
            <w:pPr>
              <w:jc w:val="center"/>
              <w:ind w:right="1040"/>
              <w:spacing w:after="0" w:line="196" w:lineRule="exact"/>
              <w:rPr>
                <w:sz w:val="20"/>
                <w:szCs w:val="20"/>
                <w:color w:val="auto"/>
              </w:rPr>
            </w:pPr>
            <w:r>
              <w:rPr>
                <w:rFonts w:ascii="Times New Roman" w:cs="Times New Roman" w:eastAsia="Times New Roman" w:hAnsi="Times New Roman"/>
                <w:sz w:val="18"/>
                <w:szCs w:val="18"/>
                <w:b w:val="1"/>
                <w:bCs w:val="1"/>
                <w:color w:val="auto"/>
                <w:w w:val="98"/>
              </w:rPr>
              <w:t>CASH AND CASH EQUIVALENTS</w:t>
            </w:r>
          </w:p>
        </w:tc>
        <w:tc>
          <w:tcPr>
            <w:tcW w:w="1540" w:type="dxa"/>
            <w:vAlign w:val="bottom"/>
            <w:gridSpan w:val="2"/>
          </w:tcPr>
          <w:p>
            <w:pPr>
              <w:spacing w:after="0"/>
              <w:rPr>
                <w:sz w:val="17"/>
                <w:szCs w:val="17"/>
                <w:color w:val="auto"/>
              </w:rPr>
            </w:pPr>
          </w:p>
        </w:tc>
        <w:tc>
          <w:tcPr>
            <w:tcW w:w="1620" w:type="dxa"/>
            <w:vAlign w:val="bottom"/>
          </w:tcPr>
          <w:p>
            <w:pPr>
              <w:spacing w:after="0"/>
              <w:rPr>
                <w:sz w:val="17"/>
                <w:szCs w:val="17"/>
                <w:color w:val="auto"/>
              </w:rPr>
            </w:pPr>
          </w:p>
        </w:tc>
      </w:tr>
      <w:tr>
        <w:trPr>
          <w:trHeight w:val="237"/>
        </w:trPr>
        <w:tc>
          <w:tcPr>
            <w:tcW w:w="31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8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(In billions, unaudited)</w:t>
            </w:r>
          </w:p>
        </w:tc>
        <w:tc>
          <w:tcPr>
            <w:tcW w:w="2580" w:type="dxa"/>
            <w:vAlign w:val="bottom"/>
            <w:gridSpan w:val="3"/>
          </w:tcPr>
          <w:p>
            <w:pPr>
              <w:spacing w:after="0"/>
              <w:rPr>
                <w:sz w:val="20"/>
                <w:szCs w:val="20"/>
                <w:color w:val="auto"/>
              </w:rPr>
            </w:pPr>
          </w:p>
        </w:tc>
        <w:tc>
          <w:tcPr>
            <w:tcW w:w="1620" w:type="dxa"/>
            <w:vAlign w:val="bottom"/>
          </w:tcPr>
          <w:p>
            <w:pPr>
              <w:spacing w:after="0"/>
              <w:rPr>
                <w:sz w:val="20"/>
                <w:szCs w:val="20"/>
                <w:color w:val="auto"/>
              </w:rPr>
            </w:pPr>
          </w:p>
        </w:tc>
      </w:tr>
      <w:tr>
        <w:trPr>
          <w:trHeight w:val="378"/>
        </w:trPr>
        <w:tc>
          <w:tcPr>
            <w:tcW w:w="3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tcPr>
          <w:p>
            <w:pPr>
              <w:spacing w:after="0"/>
              <w:rPr>
                <w:sz w:val="24"/>
                <w:szCs w:val="24"/>
                <w:color w:val="auto"/>
              </w:rPr>
            </w:pPr>
          </w:p>
        </w:tc>
      </w:tr>
      <w:tr>
        <w:trPr>
          <w:trHeight w:val="217"/>
        </w:trPr>
        <w:tc>
          <w:tcPr>
            <w:tcW w:w="31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20" w:type="dxa"/>
            <w:vAlign w:val="bottom"/>
          </w:tcPr>
          <w:p>
            <w:pPr>
              <w:jc w:val="right"/>
              <w:ind w:right="374"/>
              <w:spacing w:after="0"/>
              <w:rPr>
                <w:sz w:val="20"/>
                <w:szCs w:val="20"/>
                <w:color w:val="auto"/>
              </w:rPr>
            </w:pPr>
            <w:r>
              <w:rPr>
                <w:rFonts w:ascii="Times New Roman" w:cs="Times New Roman" w:eastAsia="Times New Roman" w:hAnsi="Times New Roman"/>
                <w:sz w:val="16"/>
                <w:szCs w:val="16"/>
                <w:b w:val="1"/>
                <w:bCs w:val="1"/>
                <w:color w:val="auto"/>
              </w:rPr>
              <w:t>September 30,</w:t>
            </w:r>
          </w:p>
        </w:tc>
      </w:tr>
      <w:tr>
        <w:trPr>
          <w:trHeight w:val="257"/>
        </w:trPr>
        <w:tc>
          <w:tcPr>
            <w:tcW w:w="31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28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20" w:type="dxa"/>
            <w:vAlign w:val="bottom"/>
          </w:tcPr>
          <w:p>
            <w:pPr>
              <w:jc w:val="right"/>
              <w:ind w:right="694"/>
              <w:spacing w:after="0"/>
              <w:rPr>
                <w:sz w:val="20"/>
                <w:szCs w:val="20"/>
                <w:color w:val="auto"/>
              </w:rPr>
            </w:pPr>
            <w:r>
              <w:rPr>
                <w:rFonts w:ascii="Times New Roman" w:cs="Times New Roman" w:eastAsia="Times New Roman" w:hAnsi="Times New Roman"/>
                <w:sz w:val="16"/>
                <w:szCs w:val="16"/>
                <w:b w:val="1"/>
                <w:bCs w:val="1"/>
                <w:color w:val="auto"/>
              </w:rPr>
              <w:t>2020</w:t>
            </w:r>
          </w:p>
        </w:tc>
      </w:tr>
      <w:tr>
        <w:trPr>
          <w:trHeight w:val="33"/>
        </w:trPr>
        <w:tc>
          <w:tcPr>
            <w:tcW w:w="3140" w:type="dxa"/>
            <w:vAlign w:val="bottom"/>
          </w:tcPr>
          <w:p>
            <w:pPr>
              <w:spacing w:after="0"/>
              <w:rPr>
                <w:sz w:val="2"/>
                <w:szCs w:val="2"/>
                <w:color w:val="auto"/>
              </w:rPr>
            </w:pPr>
          </w:p>
        </w:tc>
        <w:tc>
          <w:tcPr>
            <w:tcW w:w="6160" w:type="dxa"/>
            <w:vAlign w:val="bottom"/>
            <w:gridSpan w:val="4"/>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37"/>
        </w:trPr>
        <w:tc>
          <w:tcPr>
            <w:tcW w:w="3140" w:type="dxa"/>
            <w:vAlign w:val="bottom"/>
          </w:tcPr>
          <w:p>
            <w:pPr>
              <w:spacing w:after="0"/>
              <w:rPr>
                <w:sz w:val="20"/>
                <w:szCs w:val="20"/>
                <w:color w:val="auto"/>
              </w:rPr>
            </w:pPr>
            <w:r>
              <w:rPr>
                <w:rFonts w:ascii="Times New Roman" w:cs="Times New Roman" w:eastAsia="Times New Roman" w:hAnsi="Times New Roman"/>
                <w:sz w:val="18"/>
                <w:szCs w:val="18"/>
                <w:color w:val="auto"/>
              </w:rPr>
              <w:t>Held by joint ventures</w:t>
            </w:r>
          </w:p>
        </w:tc>
        <w:tc>
          <w:tcPr>
            <w:tcW w:w="6420" w:type="dxa"/>
            <w:vAlign w:val="bottom"/>
            <w:gridSpan w:val="5"/>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w:t>
            </w:r>
          </w:p>
        </w:tc>
      </w:tr>
      <w:tr>
        <w:trPr>
          <w:trHeight w:val="270"/>
        </w:trPr>
        <w:tc>
          <w:tcPr>
            <w:tcW w:w="3140" w:type="dxa"/>
            <w:vAlign w:val="bottom"/>
          </w:tcPr>
          <w:p>
            <w:pPr>
              <w:spacing w:after="0"/>
              <w:rPr>
                <w:sz w:val="20"/>
                <w:szCs w:val="20"/>
                <w:color w:val="auto"/>
              </w:rPr>
            </w:pPr>
            <w:r>
              <w:rPr>
                <w:rFonts w:ascii="Times New Roman" w:cs="Times New Roman" w:eastAsia="Times New Roman" w:hAnsi="Times New Roman"/>
                <w:sz w:val="18"/>
                <w:szCs w:val="18"/>
                <w:color w:val="auto"/>
              </w:rPr>
              <w:t>Operating cash and cash equivalents</w:t>
            </w:r>
          </w:p>
        </w:tc>
        <w:tc>
          <w:tcPr>
            <w:tcW w:w="1040" w:type="dxa"/>
            <w:vAlign w:val="bottom"/>
          </w:tcPr>
          <w:p>
            <w:pPr>
              <w:spacing w:after="0"/>
              <w:rPr>
                <w:sz w:val="23"/>
                <w:szCs w:val="23"/>
                <w:color w:val="auto"/>
              </w:rPr>
            </w:pPr>
          </w:p>
        </w:tc>
        <w:tc>
          <w:tcPr>
            <w:tcW w:w="28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r>
      <w:tr>
        <w:trPr>
          <w:trHeight w:val="27"/>
        </w:trPr>
        <w:tc>
          <w:tcPr>
            <w:tcW w:w="3140" w:type="dxa"/>
            <w:vAlign w:val="bottom"/>
          </w:tcPr>
          <w:p>
            <w:pPr>
              <w:spacing w:after="0"/>
              <w:rPr>
                <w:sz w:val="2"/>
                <w:szCs w:val="2"/>
                <w:color w:val="auto"/>
              </w:rPr>
            </w:pPr>
          </w:p>
        </w:tc>
        <w:tc>
          <w:tcPr>
            <w:tcW w:w="6160" w:type="dxa"/>
            <w:vAlign w:val="bottom"/>
            <w:gridSpan w:val="4"/>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63"/>
        </w:trPr>
        <w:tc>
          <w:tcPr>
            <w:tcW w:w="3140" w:type="dxa"/>
            <w:vAlign w:val="bottom"/>
          </w:tcPr>
          <w:p>
            <w:pPr>
              <w:spacing w:after="0"/>
              <w:rPr>
                <w:sz w:val="20"/>
                <w:szCs w:val="20"/>
                <w:color w:val="auto"/>
              </w:rPr>
            </w:pPr>
            <w:r>
              <w:rPr>
                <w:rFonts w:ascii="Times New Roman" w:cs="Times New Roman" w:eastAsia="Times New Roman" w:hAnsi="Times New Roman"/>
                <w:sz w:val="18"/>
                <w:szCs w:val="18"/>
                <w:color w:val="auto"/>
              </w:rPr>
              <w:t>Total cash and cash equivalents</w:t>
            </w:r>
          </w:p>
        </w:tc>
        <w:tc>
          <w:tcPr>
            <w:tcW w:w="6420" w:type="dxa"/>
            <w:vAlign w:val="bottom"/>
            <w:gridSpan w:val="5"/>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w:t>
            </w:r>
          </w:p>
        </w:tc>
      </w:tr>
      <w:tr>
        <w:trPr>
          <w:trHeight w:val="21"/>
        </w:trPr>
        <w:tc>
          <w:tcPr>
            <w:tcW w:w="31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5000"/>
        <w:spacing w:after="0"/>
        <w:tabs>
          <w:tab w:leader="none" w:pos="1022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20 of 26</w:t>
      </w:r>
    </w:p>
    <w:p>
      <w:pPr>
        <w:sectPr>
          <w:pgSz w:w="11900" w:h="16838" w:orient="portrait"/>
          <w:cols w:equalWidth="0" w:num="1">
            <w:col w:w="11200"/>
          </w:cols>
          <w:pgMar w:left="360" w:top="1051" w:right="339" w:bottom="1440" w:gutter="0" w:footer="0" w:header="0"/>
        </w:sectPr>
      </w:pPr>
    </w:p>
    <w:bookmarkStart w:id="24" w:name="page25"/>
    <w:bookmarkEnd w:id="24"/>
    <w:p>
      <w:pPr>
        <w:jc w:val="right"/>
        <w:spacing w:after="0"/>
        <w:rPr>
          <w:sz w:val="20"/>
          <w:szCs w:val="20"/>
          <w:color w:val="auto"/>
        </w:rPr>
      </w:pPr>
      <w:r>
        <w:rPr>
          <w:rFonts w:ascii="Times New Roman" w:cs="Times New Roman" w:eastAsia="Times New Roman" w:hAnsi="Times New Roman"/>
          <w:sz w:val="13"/>
          <w:szCs w:val="13"/>
          <w:b w:val="1"/>
          <w:bCs w:val="1"/>
          <w:color w:val="auto"/>
        </w:rPr>
        <w:t>Exhibit 7</w:t>
      </w:r>
    </w:p>
    <w:p>
      <w:pPr>
        <w:spacing w:after="0" w:line="1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TECHNIPFMC PLC AND CONSOLIDATED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BUSINESS SEGMENT DATA FOR YAMAL LNG JOINT VENTURE</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millions, unaudited)</w:t>
      </w:r>
    </w:p>
    <w:p>
      <w:pPr>
        <w:spacing w:after="0" w:line="23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control the voting control interests in the legal Technip Energies contract entities which own and account for the design, engineering, and construction of the Yamal LNG plant. Our partners have a 50% joint interest in these entities. Below is summarized financial information for the consolidated Yamal LNG joint venture as reflected at 100% in our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6202680</wp:posOffset>
            </wp:positionH>
            <wp:positionV relativeFrom="paragraph">
              <wp:posOffset>380365</wp:posOffset>
            </wp:positionV>
            <wp:extent cx="92583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92583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tbl>
      <w:tblPr>
        <w:tblLayout w:type="fixed"/>
        <w:tblInd w:w="20" w:type="dxa"/>
        <w:tblCellMar>
          <w:top w:w="0" w:type="dxa"/>
          <w:left w:w="0" w:type="dxa"/>
          <w:bottom w:w="0" w:type="dxa"/>
          <w:right w:w="0" w:type="dxa"/>
        </w:tblCellMar>
      </w:tblPr>
      <w:tr>
        <w:trPr>
          <w:trHeight w:val="212"/>
        </w:trPr>
        <w:tc>
          <w:tcPr>
            <w:tcW w:w="456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tcPr>
          <w:p>
            <w:pPr>
              <w:jc w:val="center"/>
              <w:ind w:right="75"/>
              <w:spacing w:after="0"/>
              <w:rPr>
                <w:sz w:val="20"/>
                <w:szCs w:val="20"/>
                <w:color w:val="auto"/>
              </w:rPr>
            </w:pPr>
            <w:r>
              <w:rPr>
                <w:rFonts w:ascii="Times New Roman" w:cs="Times New Roman" w:eastAsia="Times New Roman" w:hAnsi="Times New Roman"/>
                <w:sz w:val="16"/>
                <w:szCs w:val="16"/>
                <w:b w:val="1"/>
                <w:bCs w:val="1"/>
                <w:color w:val="auto"/>
              </w:rPr>
              <w:t>September 30,</w:t>
            </w:r>
          </w:p>
        </w:tc>
        <w:tc>
          <w:tcPr>
            <w:tcW w:w="20" w:type="dxa"/>
            <w:vAlign w:val="bottom"/>
          </w:tcPr>
          <w:p>
            <w:pPr>
              <w:spacing w:after="0"/>
              <w:rPr>
                <w:sz w:val="18"/>
                <w:szCs w:val="18"/>
                <w:color w:val="auto"/>
              </w:rPr>
            </w:pPr>
          </w:p>
        </w:tc>
      </w:tr>
      <w:tr>
        <w:trPr>
          <w:trHeight w:val="256"/>
        </w:trPr>
        <w:tc>
          <w:tcPr>
            <w:tcW w:w="4560" w:type="dxa"/>
            <w:vAlign w:val="bottom"/>
          </w:tcPr>
          <w:p>
            <w:pPr>
              <w:spacing w:after="0"/>
              <w:rPr>
                <w:sz w:val="22"/>
                <w:szCs w:val="22"/>
                <w:color w:val="auto"/>
              </w:rPr>
            </w:pPr>
          </w:p>
        </w:tc>
        <w:tc>
          <w:tcPr>
            <w:tcW w:w="36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ind w:left="400"/>
              <w:spacing w:after="0"/>
              <w:rPr>
                <w:sz w:val="20"/>
                <w:szCs w:val="20"/>
                <w:color w:val="auto"/>
              </w:rPr>
            </w:pPr>
            <w:r>
              <w:rPr>
                <w:rFonts w:ascii="Times New Roman" w:cs="Times New Roman" w:eastAsia="Times New Roman" w:hAnsi="Times New Roman"/>
                <w:sz w:val="16"/>
                <w:szCs w:val="16"/>
                <w:b w:val="1"/>
                <w:bCs w:val="1"/>
                <w:color w:val="auto"/>
              </w:rPr>
              <w:t>2020</w:t>
            </w:r>
          </w:p>
        </w:tc>
        <w:tc>
          <w:tcPr>
            <w:tcW w:w="20" w:type="dxa"/>
            <w:vAlign w:val="bottom"/>
          </w:tcPr>
          <w:p>
            <w:pPr>
              <w:spacing w:after="0"/>
              <w:rPr>
                <w:sz w:val="22"/>
                <w:szCs w:val="22"/>
                <w:color w:val="auto"/>
              </w:rPr>
            </w:pPr>
          </w:p>
        </w:tc>
      </w:tr>
      <w:tr>
        <w:trPr>
          <w:trHeight w:val="33"/>
        </w:trPr>
        <w:tc>
          <w:tcPr>
            <w:tcW w:w="4560" w:type="dxa"/>
            <w:vAlign w:val="bottom"/>
          </w:tcPr>
          <w:p>
            <w:pPr>
              <w:spacing w:after="0"/>
              <w:rPr>
                <w:sz w:val="2"/>
                <w:szCs w:val="2"/>
                <w:color w:val="auto"/>
              </w:rPr>
            </w:pPr>
          </w:p>
        </w:tc>
        <w:tc>
          <w:tcPr>
            <w:tcW w:w="3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37"/>
        </w:trPr>
        <w:tc>
          <w:tcPr>
            <w:tcW w:w="45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Contract liabilities</w:t>
            </w:r>
          </w:p>
        </w:tc>
        <w:tc>
          <w:tcPr>
            <w:tcW w:w="36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963.8</w:t>
            </w:r>
          </w:p>
        </w:tc>
        <w:tc>
          <w:tcPr>
            <w:tcW w:w="20" w:type="dxa"/>
            <w:vAlign w:val="bottom"/>
          </w:tcPr>
          <w:p>
            <w:pPr>
              <w:spacing w:after="0"/>
              <w:rPr>
                <w:sz w:val="20"/>
                <w:szCs w:val="20"/>
                <w:color w:val="auto"/>
              </w:rPr>
            </w:pPr>
          </w:p>
        </w:tc>
      </w:tr>
      <w:tr>
        <w:trPr>
          <w:trHeight w:val="270"/>
        </w:trPr>
        <w:tc>
          <w:tcPr>
            <w:tcW w:w="45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Mandatorily redeemable financial liability</w:t>
            </w:r>
          </w:p>
        </w:tc>
        <w:tc>
          <w:tcPr>
            <w:tcW w:w="36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281.7</w:t>
            </w:r>
          </w:p>
        </w:tc>
        <w:tc>
          <w:tcPr>
            <w:tcW w:w="20" w:type="dxa"/>
            <w:vAlign w:val="bottom"/>
          </w:tcPr>
          <w:p>
            <w:pPr>
              <w:spacing w:after="0"/>
              <w:rPr>
                <w:sz w:val="23"/>
                <w:szCs w:val="23"/>
                <w:color w:val="auto"/>
              </w:rPr>
            </w:pPr>
          </w:p>
        </w:tc>
      </w:tr>
      <w:tr>
        <w:trPr>
          <w:trHeight w:val="648"/>
        </w:trPr>
        <w:tc>
          <w:tcPr>
            <w:tcW w:w="456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r>
      <w:tr>
        <w:trPr>
          <w:trHeight w:val="207"/>
        </w:trPr>
        <w:tc>
          <w:tcPr>
            <w:tcW w:w="456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gridSpan w:val="2"/>
          </w:tcPr>
          <w:p>
            <w:pPr>
              <w:jc w:val="center"/>
              <w:ind w:right="260"/>
              <w:spacing w:after="0"/>
              <w:rPr>
                <w:sz w:val="20"/>
                <w:szCs w:val="20"/>
                <w:color w:val="auto"/>
              </w:rPr>
            </w:pPr>
            <w:r>
              <w:rPr>
                <w:rFonts w:ascii="Times New Roman" w:cs="Times New Roman" w:eastAsia="Times New Roman" w:hAnsi="Times New Roman"/>
                <w:sz w:val="16"/>
                <w:szCs w:val="16"/>
                <w:b w:val="1"/>
                <w:bCs w:val="1"/>
                <w:color w:val="auto"/>
              </w:rPr>
              <w:t>Three Months</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2"/>
        </w:trPr>
        <w:tc>
          <w:tcPr>
            <w:tcW w:w="456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gridSpan w:val="2"/>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w w:val="98"/>
              </w:rPr>
              <w:t>Ended</w:t>
            </w:r>
          </w:p>
        </w:tc>
        <w:tc>
          <w:tcPr>
            <w:tcW w:w="20" w:type="dxa"/>
            <w:vAlign w:val="bottom"/>
          </w:tcPr>
          <w:p>
            <w:pPr>
              <w:spacing w:after="0"/>
              <w:rPr>
                <w:sz w:val="18"/>
                <w:szCs w:val="18"/>
                <w:color w:val="auto"/>
              </w:rPr>
            </w:pPr>
          </w:p>
        </w:tc>
        <w:tc>
          <w:tcPr>
            <w:tcW w:w="144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rPr>
              <w:t>Nine Months Ended</w:t>
            </w:r>
          </w:p>
        </w:tc>
        <w:tc>
          <w:tcPr>
            <w:tcW w:w="20" w:type="dxa"/>
            <w:vAlign w:val="bottom"/>
          </w:tcPr>
          <w:p>
            <w:pPr>
              <w:spacing w:after="0"/>
              <w:rPr>
                <w:sz w:val="18"/>
                <w:szCs w:val="18"/>
                <w:color w:val="auto"/>
              </w:rPr>
            </w:pPr>
          </w:p>
        </w:tc>
      </w:tr>
      <w:tr>
        <w:trPr>
          <w:trHeight w:val="257"/>
        </w:trPr>
        <w:tc>
          <w:tcPr>
            <w:tcW w:w="4560" w:type="dxa"/>
            <w:vAlign w:val="bottom"/>
          </w:tcPr>
          <w:p>
            <w:pPr>
              <w:spacing w:after="0"/>
              <w:rPr>
                <w:sz w:val="22"/>
                <w:szCs w:val="22"/>
                <w:color w:val="auto"/>
              </w:rPr>
            </w:pPr>
          </w:p>
        </w:tc>
        <w:tc>
          <w:tcPr>
            <w:tcW w:w="36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360" w:type="dxa"/>
            <w:vAlign w:val="bottom"/>
            <w:gridSpan w:val="2"/>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rPr>
              <w:t>September 30,</w:t>
            </w:r>
          </w:p>
        </w:tc>
        <w:tc>
          <w:tcPr>
            <w:tcW w:w="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80" w:type="dxa"/>
            <w:vAlign w:val="bottom"/>
          </w:tcPr>
          <w:p>
            <w:pPr>
              <w:jc w:val="center"/>
              <w:ind w:right="55"/>
              <w:spacing w:after="0"/>
              <w:rPr>
                <w:sz w:val="20"/>
                <w:szCs w:val="20"/>
                <w:color w:val="auto"/>
              </w:rPr>
            </w:pPr>
            <w:r>
              <w:rPr>
                <w:rFonts w:ascii="Times New Roman" w:cs="Times New Roman" w:eastAsia="Times New Roman" w:hAnsi="Times New Roman"/>
                <w:sz w:val="16"/>
                <w:szCs w:val="16"/>
                <w:b w:val="1"/>
                <w:bCs w:val="1"/>
                <w:color w:val="auto"/>
              </w:rPr>
              <w:t>September 30,</w:t>
            </w:r>
          </w:p>
        </w:tc>
        <w:tc>
          <w:tcPr>
            <w:tcW w:w="20" w:type="dxa"/>
            <w:vAlign w:val="bottom"/>
          </w:tcPr>
          <w:p>
            <w:pPr>
              <w:spacing w:after="0"/>
              <w:rPr>
                <w:sz w:val="22"/>
                <w:szCs w:val="22"/>
                <w:color w:val="auto"/>
              </w:rPr>
            </w:pPr>
          </w:p>
        </w:tc>
      </w:tr>
      <w:tr>
        <w:trPr>
          <w:trHeight w:val="276"/>
        </w:trPr>
        <w:tc>
          <w:tcPr>
            <w:tcW w:w="456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jc w:val="center"/>
              <w:ind w:right="75"/>
              <w:spacing w:after="0"/>
              <w:rPr>
                <w:sz w:val="20"/>
                <w:szCs w:val="20"/>
                <w:color w:val="auto"/>
              </w:rPr>
            </w:pPr>
            <w:r>
              <w:rPr>
                <w:rFonts w:ascii="Times New Roman" w:cs="Times New Roman" w:eastAsia="Times New Roman" w:hAnsi="Times New Roman"/>
                <w:sz w:val="18"/>
                <w:szCs w:val="18"/>
                <w:b w:val="1"/>
                <w:bCs w:val="1"/>
                <w:color w:val="auto"/>
                <w:w w:val="99"/>
              </w:rPr>
              <w:t>2020</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ind w:left="40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0" w:type="dxa"/>
            <w:vAlign w:val="bottom"/>
          </w:tcPr>
          <w:p>
            <w:pPr>
              <w:spacing w:after="0"/>
              <w:rPr>
                <w:sz w:val="24"/>
                <w:szCs w:val="24"/>
                <w:color w:val="auto"/>
              </w:rPr>
            </w:pPr>
          </w:p>
        </w:tc>
      </w:tr>
      <w:tr>
        <w:trPr>
          <w:trHeight w:val="27"/>
        </w:trPr>
        <w:tc>
          <w:tcPr>
            <w:tcW w:w="4560" w:type="dxa"/>
            <w:vAlign w:val="bottom"/>
          </w:tcPr>
          <w:p>
            <w:pPr>
              <w:spacing w:after="0"/>
              <w:rPr>
                <w:sz w:val="2"/>
                <w:szCs w:val="2"/>
                <w:color w:val="auto"/>
              </w:rPr>
            </w:pPr>
          </w:p>
        </w:tc>
        <w:tc>
          <w:tcPr>
            <w:tcW w:w="36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37"/>
        </w:trPr>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Cash used by operating activities</w:t>
            </w:r>
          </w:p>
        </w:tc>
        <w:tc>
          <w:tcPr>
            <w:tcW w:w="38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(17.2)</w:t>
            </w:r>
          </w:p>
        </w:tc>
        <w:tc>
          <w:tcPr>
            <w:tcW w:w="80" w:type="dxa"/>
            <w:vAlign w:val="bottom"/>
          </w:tcPr>
          <w:p>
            <w:pPr>
              <w:spacing w:after="0"/>
              <w:rPr>
                <w:sz w:val="20"/>
                <w:szCs w:val="20"/>
                <w:color w:val="auto"/>
              </w:rPr>
            </w:pP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(68.1)</w:t>
            </w:r>
          </w:p>
        </w:tc>
        <w:tc>
          <w:tcPr>
            <w:tcW w:w="20" w:type="dxa"/>
            <w:vAlign w:val="bottom"/>
          </w:tcPr>
          <w:p>
            <w:pPr>
              <w:spacing w:after="0"/>
              <w:rPr>
                <w:sz w:val="20"/>
                <w:szCs w:val="20"/>
                <w:color w:val="auto"/>
              </w:rPr>
            </w:pPr>
          </w:p>
        </w:tc>
      </w:tr>
      <w:tr>
        <w:trPr>
          <w:trHeight w:val="270"/>
        </w:trPr>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Settlements of mandatorily redeemable financial liability</w:t>
            </w:r>
          </w:p>
        </w:tc>
        <w:tc>
          <w:tcPr>
            <w:tcW w:w="38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(135.3)</w:t>
            </w:r>
          </w:p>
        </w:tc>
        <w:tc>
          <w:tcPr>
            <w:tcW w:w="20" w:type="dxa"/>
            <w:vAlign w:val="bottom"/>
          </w:tcPr>
          <w:p>
            <w:pPr>
              <w:spacing w:after="0"/>
              <w:rPr>
                <w:sz w:val="23"/>
                <w:szCs w:val="23"/>
                <w:color w:val="auto"/>
              </w:rPr>
            </w:pPr>
          </w:p>
        </w:tc>
      </w:tr>
      <w:tr>
        <w:trPr>
          <w:trHeight w:val="916"/>
        </w:trPr>
        <w:tc>
          <w:tcPr>
            <w:tcW w:w="4560" w:type="dxa"/>
            <w:vAlign w:val="bottom"/>
          </w:tcPr>
          <w:p>
            <w:pPr>
              <w:spacing w:after="0"/>
              <w:rPr>
                <w:sz w:val="24"/>
                <w:szCs w:val="24"/>
                <w:color w:val="auto"/>
              </w:rPr>
            </w:pPr>
          </w:p>
        </w:tc>
        <w:tc>
          <w:tcPr>
            <w:tcW w:w="3820" w:type="dxa"/>
            <w:vAlign w:val="bottom"/>
            <w:gridSpan w:val="2"/>
          </w:tcPr>
          <w:p>
            <w:pPr>
              <w:jc w:val="right"/>
              <w:ind w:right="2180"/>
              <w:spacing w:after="0"/>
              <w:rPr>
                <w:sz w:val="20"/>
                <w:szCs w:val="20"/>
                <w:color w:val="auto"/>
              </w:rPr>
            </w:pPr>
            <w:r>
              <w:rPr>
                <w:rFonts w:ascii="Arial" w:cs="Arial" w:eastAsia="Arial" w:hAnsi="Arial"/>
                <w:sz w:val="14"/>
                <w:szCs w:val="14"/>
                <w:b w:val="1"/>
                <w:bCs w:val="1"/>
                <w:color w:val="auto"/>
              </w:rPr>
              <w:t>TechnipFMC.com</w:t>
            </w:r>
          </w:p>
        </w:tc>
        <w:tc>
          <w:tcPr>
            <w:tcW w:w="1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14"/>
                <w:szCs w:val="14"/>
                <w:b w:val="1"/>
                <w:bCs w:val="1"/>
                <w:color w:val="auto"/>
              </w:rPr>
              <w:t>Page 21 of 26</w:t>
            </w:r>
          </w:p>
        </w:tc>
        <w:tc>
          <w:tcPr>
            <w:tcW w:w="20" w:type="dxa"/>
            <w:vAlign w:val="bottom"/>
          </w:tcPr>
          <w:p>
            <w:pPr>
              <w:spacing w:after="0"/>
              <w:rPr>
                <w:sz w:val="24"/>
                <w:szCs w:val="24"/>
                <w:color w:val="auto"/>
              </w:rPr>
            </w:pPr>
          </w:p>
        </w:tc>
      </w:tr>
    </w:tbl>
    <w:p>
      <w:pPr>
        <w:sectPr>
          <w:pgSz w:w="11900" w:h="16838" w:orient="portrait"/>
          <w:cols w:equalWidth="0" w:num="1">
            <w:col w:w="11240"/>
          </w:cols>
          <w:pgMar w:left="320" w:top="1051" w:right="339" w:bottom="1440" w:gutter="0" w:footer="0" w:header="0"/>
        </w:sectPr>
      </w:pPr>
    </w:p>
    <w:bookmarkStart w:id="25" w:name="page26"/>
    <w:bookmarkEnd w:id="25"/>
    <w:p>
      <w:pPr>
        <w:ind w:left="10740"/>
        <w:spacing w:after="0"/>
        <w:rPr>
          <w:sz w:val="20"/>
          <w:szCs w:val="20"/>
          <w:color w:val="auto"/>
        </w:rPr>
      </w:pPr>
      <w:r>
        <w:rPr>
          <w:rFonts w:ascii="Times New Roman" w:cs="Times New Roman" w:eastAsia="Times New Roman" w:hAnsi="Times New Roman"/>
          <w:sz w:val="12"/>
          <w:szCs w:val="12"/>
          <w:b w:val="1"/>
          <w:bCs w:val="1"/>
          <w:color w:val="auto"/>
        </w:rPr>
        <w:t>Exhibit 8</w:t>
      </w:r>
    </w:p>
    <w:p>
      <w:pPr>
        <w:spacing w:after="0" w:line="1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3"/>
          <w:szCs w:val="13"/>
          <w:b w:val="1"/>
          <w:bCs w:val="1"/>
          <w:u w:val="single" w:color="auto"/>
          <w:color w:val="auto"/>
        </w:rPr>
        <w:t>TECHNIPFMC PLC AND CONSOLIDATED SUBSIDIARIES</w:t>
      </w:r>
    </w:p>
    <w:p>
      <w:pPr>
        <w:spacing w:after="0" w:line="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3"/>
          <w:szCs w:val="13"/>
          <w:b w:val="1"/>
          <w:bCs w:val="1"/>
          <w:u w:val="single" w:color="auto"/>
          <w:color w:val="auto"/>
        </w:rPr>
        <w:t>RECONCILIATION OF GAAP TO NON-GAAP FINANCIAL MEASURES</w:t>
      </w:r>
    </w:p>
    <w:p>
      <w:pPr>
        <w:jc w:val="center"/>
        <w:spacing w:after="0"/>
        <w:rPr>
          <w:sz w:val="20"/>
          <w:szCs w:val="20"/>
          <w:color w:val="auto"/>
        </w:rPr>
      </w:pPr>
      <w:r>
        <w:rPr>
          <w:rFonts w:ascii="Times New Roman" w:cs="Times New Roman" w:eastAsia="Times New Roman" w:hAnsi="Times New Roman"/>
          <w:sz w:val="13"/>
          <w:szCs w:val="13"/>
          <w:b w:val="1"/>
          <w:bCs w:val="1"/>
          <w:color w:val="auto"/>
        </w:rPr>
        <w:t>(In millions, unaudited)</w:t>
      </w:r>
    </w:p>
    <w:p>
      <w:pPr>
        <w:spacing w:after="0" w:line="2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3"/>
          <w:szCs w:val="13"/>
          <w:b w:val="1"/>
          <w:bCs w:val="1"/>
          <w:color w:val="auto"/>
        </w:rPr>
        <w:t>Charges and Credits</w:t>
      </w:r>
    </w:p>
    <w:p>
      <w:pPr>
        <w:spacing w:after="0" w:line="1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2"/>
          <w:szCs w:val="12"/>
          <w:color w:val="auto"/>
        </w:rPr>
        <w:t>In addition to financial results determined in accordance with U.S. generally accepted accounting principles (GAAP), the third quarter 2020 Earnings Release also includes non-GAAP financial measures (as defined in Item 10 of Regulation S-K of the Securities Exchange Act of 1934, as amended) and describes performance on a year-over-year basis against 2019 results and measures. Net income, excluding charges and credits, as well as measures derived from it (including Diluted EPS, excluding charges and credits; Income before net interest expense and taxes, excluding charges and credits ("Adjusted Operating profit"); Depreciation and amortization, excluding charges and credits; Earnings before net interest expense, income taxes, depreciation and amortization, excluding charges and credits ("Adjusted EBITDA"); and net cash) are non-GAAP financial measures. Management believes that the exclusion of charges and credits from these financial measures enables investors and management to more effectively evaluate TechnipFMC's operations and consolidated results of operations period-over-period, and to identify operating trends that could otherwise be masked or misleading to both investors and management by the excluded items. These measures are also used by management as performance measures in determining certain incentive compensation. The foregoing non-GAAP financial measures should be considered by investors in addition to, not as a substitute for or superior to, other measures of financial performance prepared in accordance with GAAP. The following is a reconciliation of the most comparable financial measures under GAAP to the non-GAAP financial measures.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1830705</wp:posOffset>
            </wp:positionH>
            <wp:positionV relativeFrom="paragraph">
              <wp:posOffset>389255</wp:posOffset>
            </wp:positionV>
            <wp:extent cx="5297805"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29780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tbl>
      <w:tblPr>
        <w:tblLayout w:type="fixed"/>
        <w:tblInd w:w="40" w:type="dxa"/>
        <w:tblCellMar>
          <w:top w:w="0" w:type="dxa"/>
          <w:left w:w="0" w:type="dxa"/>
          <w:bottom w:w="0" w:type="dxa"/>
          <w:right w:w="0" w:type="dxa"/>
        </w:tblCellMar>
      </w:tblPr>
      <w:tr>
        <w:trPr>
          <w:trHeight w:val="142"/>
        </w:trPr>
        <w:tc>
          <w:tcPr>
            <w:tcW w:w="2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gridSpan w:val="3"/>
          </w:tcPr>
          <w:p>
            <w:pPr>
              <w:jc w:val="center"/>
              <w:ind w:right="100"/>
              <w:spacing w:after="0"/>
              <w:rPr>
                <w:sz w:val="20"/>
                <w:szCs w:val="20"/>
                <w:color w:val="auto"/>
              </w:rPr>
            </w:pPr>
            <w:r>
              <w:rPr>
                <w:rFonts w:ascii="Times New Roman" w:cs="Times New Roman" w:eastAsia="Times New Roman" w:hAnsi="Times New Roman"/>
                <w:sz w:val="11"/>
                <w:szCs w:val="11"/>
                <w:b w:val="1"/>
                <w:bCs w:val="1"/>
                <w:color w:val="auto"/>
                <w:w w:val="97"/>
              </w:rPr>
              <w:t>Three Months Ended</w:t>
            </w: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28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center"/>
              <w:ind w:right="180"/>
              <w:spacing w:after="0"/>
              <w:rPr>
                <w:sz w:val="20"/>
                <w:szCs w:val="20"/>
                <w:color w:val="auto"/>
              </w:rPr>
            </w:pPr>
            <w:r>
              <w:rPr>
                <w:rFonts w:ascii="Times New Roman" w:cs="Times New Roman" w:eastAsia="Times New Roman" w:hAnsi="Times New Roman"/>
                <w:sz w:val="11"/>
                <w:szCs w:val="11"/>
                <w:b w:val="1"/>
                <w:bCs w:val="1"/>
                <w:color w:val="auto"/>
                <w:w w:val="97"/>
              </w:rPr>
              <w:t>September 30, 2020</w:t>
            </w:r>
          </w:p>
        </w:tc>
        <w:tc>
          <w:tcPr>
            <w:tcW w:w="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
        </w:trPr>
        <w:tc>
          <w:tcPr>
            <w:tcW w:w="28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6"/>
        </w:trPr>
        <w:tc>
          <w:tcPr>
            <w:tcW w:w="2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26"/>
              <w:spacing w:after="0"/>
              <w:rPr>
                <w:sz w:val="20"/>
                <w:szCs w:val="20"/>
                <w:color w:val="auto"/>
              </w:rPr>
            </w:pPr>
            <w:r>
              <w:rPr>
                <w:rFonts w:ascii="Times New Roman" w:cs="Times New Roman" w:eastAsia="Times New Roman" w:hAnsi="Times New Roman"/>
                <w:sz w:val="11"/>
                <w:szCs w:val="11"/>
                <w:b w:val="1"/>
                <w:bCs w:val="1"/>
                <w:color w:val="auto"/>
                <w:w w:val="96"/>
              </w:rPr>
              <w:t>Earnings before net</w:t>
            </w:r>
          </w:p>
        </w:tc>
        <w:tc>
          <w:tcPr>
            <w:tcW w:w="0" w:type="dxa"/>
            <w:vAlign w:val="bottom"/>
          </w:tcPr>
          <w:p>
            <w:pPr>
              <w:spacing w:after="0"/>
              <w:rPr>
                <w:sz w:val="1"/>
                <w:szCs w:val="1"/>
                <w:color w:val="auto"/>
              </w:rPr>
            </w:pPr>
          </w:p>
        </w:tc>
      </w:tr>
      <w:tr>
        <w:trPr>
          <w:trHeight w:val="122"/>
        </w:trPr>
        <w:tc>
          <w:tcPr>
            <w:tcW w:w="2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6"/>
              <w:spacing w:after="0" w:line="122" w:lineRule="exact"/>
              <w:rPr>
                <w:sz w:val="20"/>
                <w:szCs w:val="20"/>
                <w:color w:val="auto"/>
              </w:rPr>
            </w:pPr>
            <w:r>
              <w:rPr>
                <w:rFonts w:ascii="Times New Roman" w:cs="Times New Roman" w:eastAsia="Times New Roman" w:hAnsi="Times New Roman"/>
                <w:sz w:val="11"/>
                <w:szCs w:val="11"/>
                <w:b w:val="1"/>
                <w:bCs w:val="1"/>
                <w:color w:val="auto"/>
                <w:w w:val="97"/>
              </w:rPr>
              <w:t>interest expense,</w:t>
            </w:r>
          </w:p>
        </w:tc>
        <w:tc>
          <w:tcPr>
            <w:tcW w:w="0" w:type="dxa"/>
            <w:vAlign w:val="bottom"/>
          </w:tcPr>
          <w:p>
            <w:pPr>
              <w:spacing w:after="0"/>
              <w:rPr>
                <w:sz w:val="1"/>
                <w:szCs w:val="1"/>
                <w:color w:val="auto"/>
              </w:rPr>
            </w:pPr>
          </w:p>
        </w:tc>
      </w:tr>
      <w:tr>
        <w:trPr>
          <w:trHeight w:val="122"/>
        </w:trPr>
        <w:tc>
          <w:tcPr>
            <w:tcW w:w="2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6"/>
              </w:rPr>
              <w:t>Income before net</w:t>
            </w: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26"/>
              <w:spacing w:after="0" w:line="122" w:lineRule="exact"/>
              <w:rPr>
                <w:sz w:val="20"/>
                <w:szCs w:val="20"/>
                <w:color w:val="auto"/>
              </w:rPr>
            </w:pPr>
            <w:r>
              <w:rPr>
                <w:rFonts w:ascii="Times New Roman" w:cs="Times New Roman" w:eastAsia="Times New Roman" w:hAnsi="Times New Roman"/>
                <w:sz w:val="11"/>
                <w:szCs w:val="11"/>
                <w:b w:val="1"/>
                <w:bCs w:val="1"/>
                <w:color w:val="auto"/>
                <w:w w:val="98"/>
              </w:rPr>
              <w:t>income taxes,</w:t>
            </w:r>
          </w:p>
        </w:tc>
        <w:tc>
          <w:tcPr>
            <w:tcW w:w="0" w:type="dxa"/>
            <w:vAlign w:val="bottom"/>
          </w:tcPr>
          <w:p>
            <w:pPr>
              <w:spacing w:after="0"/>
              <w:rPr>
                <w:sz w:val="1"/>
                <w:szCs w:val="1"/>
                <w:color w:val="auto"/>
              </w:rPr>
            </w:pPr>
          </w:p>
        </w:tc>
      </w:tr>
      <w:tr>
        <w:trPr>
          <w:trHeight w:val="122"/>
        </w:trPr>
        <w:tc>
          <w:tcPr>
            <w:tcW w:w="2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00" w:type="dxa"/>
            <w:vAlign w:val="bottom"/>
            <w:gridSpan w:val="2"/>
          </w:tcPr>
          <w:p>
            <w:pPr>
              <w:jc w:val="center"/>
              <w:ind w:right="220"/>
              <w:spacing w:after="0" w:line="122" w:lineRule="exact"/>
              <w:rPr>
                <w:sz w:val="20"/>
                <w:szCs w:val="20"/>
                <w:color w:val="auto"/>
              </w:rPr>
            </w:pPr>
            <w:r>
              <w:rPr>
                <w:rFonts w:ascii="Times New Roman" w:cs="Times New Roman" w:eastAsia="Times New Roman" w:hAnsi="Times New Roman"/>
                <w:sz w:val="11"/>
                <w:szCs w:val="11"/>
                <w:b w:val="1"/>
                <w:bCs w:val="1"/>
                <w:color w:val="auto"/>
                <w:w w:val="98"/>
              </w:rPr>
              <w:t>Net income</w:t>
            </w: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7"/>
              </w:rPr>
              <w:t>Net income (loss)</w:t>
            </w:r>
          </w:p>
        </w:tc>
        <w:tc>
          <w:tcPr>
            <w:tcW w:w="1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8"/>
              </w:rPr>
              <w:t>interest expense and</w:t>
            </w: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26"/>
              <w:spacing w:after="0" w:line="122" w:lineRule="exact"/>
              <w:rPr>
                <w:sz w:val="20"/>
                <w:szCs w:val="20"/>
                <w:color w:val="auto"/>
              </w:rPr>
            </w:pPr>
            <w:r>
              <w:rPr>
                <w:rFonts w:ascii="Times New Roman" w:cs="Times New Roman" w:eastAsia="Times New Roman" w:hAnsi="Times New Roman"/>
                <w:sz w:val="11"/>
                <w:szCs w:val="11"/>
                <w:b w:val="1"/>
                <w:bCs w:val="1"/>
                <w:color w:val="auto"/>
                <w:w w:val="98"/>
              </w:rPr>
              <w:t>depreciation and</w:t>
            </w:r>
          </w:p>
        </w:tc>
        <w:tc>
          <w:tcPr>
            <w:tcW w:w="0" w:type="dxa"/>
            <w:vAlign w:val="bottom"/>
          </w:tcPr>
          <w:p>
            <w:pPr>
              <w:spacing w:after="0"/>
              <w:rPr>
                <w:sz w:val="1"/>
                <w:szCs w:val="1"/>
                <w:color w:val="auto"/>
              </w:rPr>
            </w:pPr>
          </w:p>
        </w:tc>
      </w:tr>
      <w:tr>
        <w:trPr>
          <w:trHeight w:val="121"/>
        </w:trPr>
        <w:tc>
          <w:tcPr>
            <w:tcW w:w="2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00" w:type="dxa"/>
            <w:vAlign w:val="bottom"/>
            <w:gridSpan w:val="2"/>
          </w:tcPr>
          <w:p>
            <w:pPr>
              <w:jc w:val="center"/>
              <w:ind w:right="220"/>
              <w:spacing w:after="0" w:line="122" w:lineRule="exact"/>
              <w:rPr>
                <w:sz w:val="20"/>
                <w:szCs w:val="20"/>
                <w:color w:val="auto"/>
              </w:rPr>
            </w:pPr>
            <w:r>
              <w:rPr>
                <w:rFonts w:ascii="Times New Roman" w:cs="Times New Roman" w:eastAsia="Times New Roman" w:hAnsi="Times New Roman"/>
                <w:sz w:val="11"/>
                <w:szCs w:val="11"/>
                <w:b w:val="1"/>
                <w:bCs w:val="1"/>
                <w:color w:val="auto"/>
                <w:w w:val="99"/>
              </w:rPr>
              <w:t>attributable to</w:t>
            </w: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7"/>
              </w:rPr>
              <w:t>attributable to non-</w:t>
            </w:r>
          </w:p>
        </w:tc>
        <w:tc>
          <w:tcPr>
            <w:tcW w:w="1200" w:type="dxa"/>
            <w:vAlign w:val="bottom"/>
            <w:gridSpan w:val="3"/>
          </w:tcPr>
          <w:p>
            <w:pPr>
              <w:jc w:val="center"/>
              <w:ind w:right="120"/>
              <w:spacing w:after="0" w:line="122" w:lineRule="exact"/>
              <w:rPr>
                <w:sz w:val="20"/>
                <w:szCs w:val="20"/>
                <w:color w:val="auto"/>
              </w:rPr>
            </w:pPr>
            <w:r>
              <w:rPr>
                <w:rFonts w:ascii="Times New Roman" w:cs="Times New Roman" w:eastAsia="Times New Roman" w:hAnsi="Times New Roman"/>
                <w:sz w:val="11"/>
                <w:szCs w:val="11"/>
                <w:b w:val="1"/>
                <w:bCs w:val="1"/>
                <w:color w:val="auto"/>
                <w:w w:val="98"/>
              </w:rPr>
              <w:t>Provision for income</w:t>
            </w: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6"/>
              </w:rPr>
              <w:t>income taxes</w:t>
            </w:r>
          </w:p>
        </w:tc>
        <w:tc>
          <w:tcPr>
            <w:tcW w:w="120" w:type="dxa"/>
            <w:vAlign w:val="bottom"/>
          </w:tcPr>
          <w:p>
            <w:pPr>
              <w:spacing w:after="0"/>
              <w:rPr>
                <w:sz w:val="10"/>
                <w:szCs w:val="10"/>
                <w:color w:val="auto"/>
              </w:rPr>
            </w:pPr>
          </w:p>
        </w:tc>
        <w:tc>
          <w:tcPr>
            <w:tcW w:w="1100" w:type="dxa"/>
            <w:vAlign w:val="bottom"/>
            <w:gridSpan w:val="2"/>
          </w:tcPr>
          <w:p>
            <w:pPr>
              <w:jc w:val="center"/>
              <w:ind w:right="220"/>
              <w:spacing w:after="0" w:line="122" w:lineRule="exact"/>
              <w:rPr>
                <w:sz w:val="20"/>
                <w:szCs w:val="20"/>
                <w:color w:val="auto"/>
              </w:rPr>
            </w:pPr>
            <w:r>
              <w:rPr>
                <w:rFonts w:ascii="Times New Roman" w:cs="Times New Roman" w:eastAsia="Times New Roman" w:hAnsi="Times New Roman"/>
                <w:sz w:val="11"/>
                <w:szCs w:val="11"/>
                <w:b w:val="1"/>
                <w:bCs w:val="1"/>
                <w:color w:val="auto"/>
                <w:w w:val="98"/>
              </w:rPr>
              <w:t>Depreciation and</w:t>
            </w:r>
          </w:p>
        </w:tc>
        <w:tc>
          <w:tcPr>
            <w:tcW w:w="80" w:type="dxa"/>
            <w:vAlign w:val="bottom"/>
          </w:tcPr>
          <w:p>
            <w:pPr>
              <w:spacing w:after="0"/>
              <w:rPr>
                <w:sz w:val="10"/>
                <w:szCs w:val="10"/>
                <w:color w:val="auto"/>
              </w:rPr>
            </w:pPr>
          </w:p>
        </w:tc>
        <w:tc>
          <w:tcPr>
            <w:tcW w:w="1020" w:type="dxa"/>
            <w:vAlign w:val="bottom"/>
          </w:tcPr>
          <w:p>
            <w:pPr>
              <w:jc w:val="center"/>
              <w:ind w:right="26"/>
              <w:spacing w:after="0" w:line="122" w:lineRule="exact"/>
              <w:rPr>
                <w:sz w:val="20"/>
                <w:szCs w:val="20"/>
                <w:color w:val="auto"/>
              </w:rPr>
            </w:pPr>
            <w:r>
              <w:rPr>
                <w:rFonts w:ascii="Times New Roman" w:cs="Times New Roman" w:eastAsia="Times New Roman" w:hAnsi="Times New Roman"/>
                <w:sz w:val="11"/>
                <w:szCs w:val="11"/>
                <w:b w:val="1"/>
                <w:bCs w:val="1"/>
                <w:color w:val="auto"/>
                <w:w w:val="95"/>
              </w:rPr>
              <w:t>amortization</w:t>
            </w:r>
          </w:p>
        </w:tc>
        <w:tc>
          <w:tcPr>
            <w:tcW w:w="0" w:type="dxa"/>
            <w:vAlign w:val="bottom"/>
          </w:tcPr>
          <w:p>
            <w:pPr>
              <w:spacing w:after="0"/>
              <w:rPr>
                <w:sz w:val="1"/>
                <w:szCs w:val="1"/>
                <w:color w:val="auto"/>
              </w:rPr>
            </w:pPr>
          </w:p>
        </w:tc>
      </w:tr>
      <w:tr>
        <w:trPr>
          <w:trHeight w:val="142"/>
        </w:trPr>
        <w:tc>
          <w:tcPr>
            <w:tcW w:w="2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ind w:right="240"/>
              <w:spacing w:after="0"/>
              <w:rPr>
                <w:sz w:val="20"/>
                <w:szCs w:val="20"/>
                <w:color w:val="auto"/>
              </w:rPr>
            </w:pPr>
            <w:r>
              <w:rPr>
                <w:rFonts w:ascii="Times New Roman" w:cs="Times New Roman" w:eastAsia="Times New Roman" w:hAnsi="Times New Roman"/>
                <w:sz w:val="11"/>
                <w:szCs w:val="11"/>
                <w:b w:val="1"/>
                <w:bCs w:val="1"/>
                <w:color w:val="auto"/>
                <w:w w:val="96"/>
              </w:rPr>
              <w:t>TechnipFMC plc</w:t>
            </w:r>
          </w:p>
        </w:tc>
        <w:tc>
          <w:tcPr>
            <w:tcW w:w="80" w:type="dxa"/>
            <w:vAlign w:val="bottom"/>
          </w:tcPr>
          <w:p>
            <w:pPr>
              <w:spacing w:after="0"/>
              <w:rPr>
                <w:sz w:val="12"/>
                <w:szCs w:val="12"/>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w w:val="98"/>
              </w:rPr>
              <w:t>controlling interests</w:t>
            </w:r>
          </w:p>
        </w:tc>
        <w:tc>
          <w:tcPr>
            <w:tcW w:w="160" w:type="dxa"/>
            <w:vAlign w:val="bottom"/>
          </w:tcPr>
          <w:p>
            <w:pPr>
              <w:spacing w:after="0"/>
              <w:rPr>
                <w:sz w:val="12"/>
                <w:szCs w:val="12"/>
                <w:color w:val="auto"/>
              </w:rPr>
            </w:pPr>
          </w:p>
        </w:tc>
        <w:tc>
          <w:tcPr>
            <w:tcW w:w="1040" w:type="dxa"/>
            <w:vAlign w:val="bottom"/>
            <w:gridSpan w:val="2"/>
          </w:tcPr>
          <w:p>
            <w:pPr>
              <w:jc w:val="center"/>
              <w:ind w:right="280"/>
              <w:spacing w:after="0"/>
              <w:rPr>
                <w:sz w:val="20"/>
                <w:szCs w:val="20"/>
                <w:color w:val="auto"/>
              </w:rPr>
            </w:pPr>
            <w:r>
              <w:rPr>
                <w:rFonts w:ascii="Times New Roman" w:cs="Times New Roman" w:eastAsia="Times New Roman" w:hAnsi="Times New Roman"/>
                <w:sz w:val="11"/>
                <w:szCs w:val="11"/>
                <w:b w:val="1"/>
                <w:bCs w:val="1"/>
                <w:color w:val="auto"/>
              </w:rPr>
              <w:t>taxes</w:t>
            </w:r>
          </w:p>
        </w:tc>
        <w:tc>
          <w:tcPr>
            <w:tcW w:w="80" w:type="dxa"/>
            <w:vAlign w:val="bottom"/>
          </w:tcPr>
          <w:p>
            <w:pPr>
              <w:spacing w:after="0"/>
              <w:rPr>
                <w:sz w:val="12"/>
                <w:szCs w:val="12"/>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w w:val="97"/>
              </w:rPr>
              <w:t>Net interest expense</w:t>
            </w:r>
          </w:p>
        </w:tc>
        <w:tc>
          <w:tcPr>
            <w:tcW w:w="80" w:type="dxa"/>
            <w:vAlign w:val="bottom"/>
          </w:tcPr>
          <w:p>
            <w:pPr>
              <w:spacing w:after="0"/>
              <w:rPr>
                <w:sz w:val="12"/>
                <w:szCs w:val="12"/>
                <w:color w:val="auto"/>
              </w:rPr>
            </w:pPr>
          </w:p>
        </w:tc>
        <w:tc>
          <w:tcPr>
            <w:tcW w:w="1120" w:type="dxa"/>
            <w:vAlign w:val="bottom"/>
            <w:gridSpan w:val="2"/>
          </w:tcPr>
          <w:p>
            <w:pPr>
              <w:jc w:val="center"/>
              <w:ind w:right="180"/>
              <w:spacing w:after="0"/>
              <w:rPr>
                <w:sz w:val="20"/>
                <w:szCs w:val="20"/>
                <w:color w:val="auto"/>
              </w:rPr>
            </w:pPr>
            <w:r>
              <w:rPr>
                <w:rFonts w:ascii="Times New Roman" w:cs="Times New Roman" w:eastAsia="Times New Roman" w:hAnsi="Times New Roman"/>
                <w:sz w:val="11"/>
                <w:szCs w:val="11"/>
                <w:b w:val="1"/>
                <w:bCs w:val="1"/>
                <w:color w:val="auto"/>
                <w:w w:val="96"/>
              </w:rPr>
              <w:t>(Operating profit)</w:t>
            </w:r>
          </w:p>
        </w:tc>
        <w:tc>
          <w:tcPr>
            <w:tcW w:w="120" w:type="dxa"/>
            <w:vAlign w:val="bottom"/>
          </w:tcPr>
          <w:p>
            <w:pPr>
              <w:spacing w:after="0"/>
              <w:rPr>
                <w:sz w:val="12"/>
                <w:szCs w:val="12"/>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1"/>
                <w:szCs w:val="11"/>
                <w:b w:val="1"/>
                <w:bCs w:val="1"/>
                <w:color w:val="auto"/>
                <w:w w:val="99"/>
              </w:rPr>
              <w:t>amortization</w:t>
            </w:r>
          </w:p>
        </w:tc>
        <w:tc>
          <w:tcPr>
            <w:tcW w:w="80" w:type="dxa"/>
            <w:vAlign w:val="bottom"/>
          </w:tcPr>
          <w:p>
            <w:pPr>
              <w:spacing w:after="0"/>
              <w:rPr>
                <w:sz w:val="12"/>
                <w:szCs w:val="12"/>
                <w:color w:val="auto"/>
              </w:rPr>
            </w:pPr>
          </w:p>
        </w:tc>
        <w:tc>
          <w:tcPr>
            <w:tcW w:w="1020" w:type="dxa"/>
            <w:vAlign w:val="bottom"/>
          </w:tcPr>
          <w:p>
            <w:pPr>
              <w:jc w:val="center"/>
              <w:ind w:right="6"/>
              <w:spacing w:after="0"/>
              <w:rPr>
                <w:sz w:val="20"/>
                <w:szCs w:val="20"/>
                <w:color w:val="auto"/>
              </w:rPr>
            </w:pPr>
            <w:r>
              <w:rPr>
                <w:rFonts w:ascii="Times New Roman" w:cs="Times New Roman" w:eastAsia="Times New Roman" w:hAnsi="Times New Roman"/>
                <w:sz w:val="11"/>
                <w:szCs w:val="11"/>
                <w:b w:val="1"/>
                <w:bCs w:val="1"/>
                <w:color w:val="auto"/>
                <w:w w:val="96"/>
              </w:rPr>
              <w:t>(EBITDA)</w:t>
            </w:r>
          </w:p>
        </w:tc>
        <w:tc>
          <w:tcPr>
            <w:tcW w:w="0" w:type="dxa"/>
            <w:vAlign w:val="bottom"/>
          </w:tcPr>
          <w:p>
            <w:pPr>
              <w:spacing w:after="0"/>
              <w:rPr>
                <w:sz w:val="1"/>
                <w:szCs w:val="1"/>
                <w:color w:val="auto"/>
              </w:rPr>
            </w:pPr>
          </w:p>
        </w:tc>
      </w:tr>
      <w:tr>
        <w:trPr>
          <w:trHeight w:val="22"/>
        </w:trPr>
        <w:tc>
          <w:tcPr>
            <w:tcW w:w="28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7"/>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TechnipFMC plc, as reported</w:t>
            </w:r>
          </w:p>
        </w:tc>
        <w:tc>
          <w:tcPr>
            <w:tcW w:w="120" w:type="dxa"/>
            <w:vAlign w:val="bottom"/>
          </w:tcPr>
          <w:p>
            <w:pPr>
              <w:ind w:left="2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(3.9)</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10.3</w:t>
            </w:r>
          </w:p>
        </w:tc>
        <w:tc>
          <w:tcPr>
            <w:tcW w:w="100" w:type="dxa"/>
            <w:vAlign w:val="bottom"/>
          </w:tcPr>
          <w:p>
            <w:pPr>
              <w:spacing w:after="0"/>
              <w:rPr>
                <w:sz w:val="12"/>
                <w:szCs w:val="12"/>
                <w:color w:val="auto"/>
              </w:rPr>
            </w:pPr>
          </w:p>
        </w:tc>
        <w:tc>
          <w:tcPr>
            <w:tcW w:w="16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w:t>
            </w: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22.5</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91.8</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120.7</w:t>
            </w:r>
          </w:p>
        </w:tc>
        <w:tc>
          <w:tcPr>
            <w:tcW w:w="100" w:type="dxa"/>
            <w:vAlign w:val="bottom"/>
          </w:tcPr>
          <w:p>
            <w:pPr>
              <w:spacing w:after="0"/>
              <w:rPr>
                <w:sz w:val="12"/>
                <w:szCs w:val="12"/>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108.5</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229.2</w:t>
            </w:r>
          </w:p>
        </w:tc>
        <w:tc>
          <w:tcPr>
            <w:tcW w:w="0" w:type="dxa"/>
            <w:vAlign w:val="bottom"/>
          </w:tcPr>
          <w:p>
            <w:pPr>
              <w:spacing w:after="0"/>
              <w:rPr>
                <w:sz w:val="1"/>
                <w:szCs w:val="1"/>
                <w:color w:val="auto"/>
              </w:rPr>
            </w:pPr>
          </w:p>
        </w:tc>
      </w:tr>
      <w:tr>
        <w:trPr>
          <w:trHeight w:val="338"/>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Charges and (credits):</w:t>
            </w: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Impairment and other charges</w:t>
            </w:r>
          </w:p>
        </w:tc>
        <w:tc>
          <w:tcPr>
            <w:tcW w:w="12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26.0</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5.3</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31.3</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31.3</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Restructuring and other charges</w:t>
            </w:r>
          </w:p>
        </w:tc>
        <w:tc>
          <w:tcPr>
            <w:tcW w:w="12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21.6</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2.7</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24.3</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24.3</w:t>
            </w:r>
          </w:p>
        </w:tc>
        <w:tc>
          <w:tcPr>
            <w:tcW w:w="0" w:type="dxa"/>
            <w:vAlign w:val="bottom"/>
          </w:tcPr>
          <w:p>
            <w:pPr>
              <w:spacing w:after="0"/>
              <w:rPr>
                <w:sz w:val="1"/>
                <w:szCs w:val="1"/>
                <w:color w:val="auto"/>
              </w:rPr>
            </w:pPr>
          </w:p>
        </w:tc>
      </w:tr>
      <w:tr>
        <w:trPr>
          <w:trHeight w:val="176"/>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Direct COVID-19 expenses</w:t>
            </w:r>
          </w:p>
        </w:tc>
        <w:tc>
          <w:tcPr>
            <w:tcW w:w="12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28.5</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7.9</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36.4</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36.4</w:t>
            </w:r>
          </w:p>
        </w:tc>
        <w:tc>
          <w:tcPr>
            <w:tcW w:w="0" w:type="dxa"/>
            <w:vAlign w:val="bottom"/>
          </w:tcPr>
          <w:p>
            <w:pPr>
              <w:spacing w:after="0"/>
              <w:rPr>
                <w:sz w:val="1"/>
                <w:szCs w:val="1"/>
                <w:color w:val="auto"/>
              </w:rPr>
            </w:pPr>
          </w:p>
        </w:tc>
      </w:tr>
      <w:tr>
        <w:trPr>
          <w:trHeight w:val="22"/>
        </w:trPr>
        <w:tc>
          <w:tcPr>
            <w:tcW w:w="28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9"/>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Adjusted financial measures</w:t>
            </w:r>
          </w:p>
        </w:tc>
        <w:tc>
          <w:tcPr>
            <w:tcW w:w="1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72.2</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10.3</w:t>
            </w:r>
          </w:p>
        </w:tc>
        <w:tc>
          <w:tcPr>
            <w:tcW w:w="100" w:type="dxa"/>
            <w:vAlign w:val="bottom"/>
          </w:tcPr>
          <w:p>
            <w:pPr>
              <w:spacing w:after="0"/>
              <w:rPr>
                <w:sz w:val="14"/>
                <w:szCs w:val="14"/>
                <w:color w:val="auto"/>
              </w:rPr>
            </w:pPr>
          </w:p>
        </w:tc>
        <w:tc>
          <w:tcPr>
            <w:tcW w:w="16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w:t>
            </w:r>
          </w:p>
        </w:tc>
        <w:tc>
          <w:tcPr>
            <w:tcW w:w="94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38.4</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91.8</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212.7</w:t>
            </w:r>
          </w:p>
        </w:tc>
        <w:tc>
          <w:tcPr>
            <w:tcW w:w="100" w:type="dxa"/>
            <w:vAlign w:val="bottom"/>
          </w:tcPr>
          <w:p>
            <w:pPr>
              <w:spacing w:after="0"/>
              <w:rPr>
                <w:sz w:val="14"/>
                <w:szCs w:val="14"/>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108.5</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Borders>
              <w:bottom w:val="single" w:sz="8" w:color="auto"/>
            </w:tcBorders>
          </w:tcPr>
          <w:p>
            <w:pPr>
              <w:jc w:val="right"/>
              <w:ind w:right="6"/>
              <w:spacing w:after="0"/>
              <w:rPr>
                <w:sz w:val="20"/>
                <w:szCs w:val="20"/>
                <w:color w:val="auto"/>
              </w:rPr>
            </w:pPr>
            <w:r>
              <w:rPr>
                <w:rFonts w:ascii="Times New Roman" w:cs="Times New Roman" w:eastAsia="Times New Roman" w:hAnsi="Times New Roman"/>
                <w:sz w:val="11"/>
                <w:szCs w:val="11"/>
                <w:color w:val="auto"/>
              </w:rPr>
              <w:t>321.2</w:t>
            </w:r>
          </w:p>
        </w:tc>
        <w:tc>
          <w:tcPr>
            <w:tcW w:w="0" w:type="dxa"/>
            <w:vAlign w:val="bottom"/>
          </w:tcPr>
          <w:p>
            <w:pPr>
              <w:spacing w:after="0"/>
              <w:rPr>
                <w:sz w:val="1"/>
                <w:szCs w:val="1"/>
                <w:color w:val="auto"/>
              </w:rPr>
            </w:pPr>
          </w:p>
        </w:tc>
      </w:tr>
      <w:tr>
        <w:trPr>
          <w:trHeight w:val="21"/>
        </w:trPr>
        <w:tc>
          <w:tcPr>
            <w:tcW w:w="2840" w:type="dxa"/>
            <w:vAlign w:val="bottom"/>
            <w:vMerge w:val="restart"/>
          </w:tcPr>
          <w:p>
            <w:pPr>
              <w:spacing w:after="0"/>
              <w:rPr>
                <w:sz w:val="20"/>
                <w:szCs w:val="20"/>
                <w:color w:val="auto"/>
              </w:rPr>
            </w:pPr>
            <w:r>
              <w:rPr>
                <w:rFonts w:ascii="Times New Roman" w:cs="Times New Roman" w:eastAsia="Times New Roman" w:hAnsi="Times New Roman"/>
                <w:sz w:val="11"/>
                <w:szCs w:val="11"/>
                <w:color w:val="auto"/>
                <w:w w:val="97"/>
              </w:rPr>
              <w:t>Diluted earnings (loss) per share attributable to TechnipFMC plc,</w:t>
            </w: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3"/>
        </w:trPr>
        <w:tc>
          <w:tcPr>
            <w:tcW w:w="2840" w:type="dxa"/>
            <w:vAlign w:val="bottom"/>
            <w:vMerge w:val="continue"/>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0"/>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as reported</w:t>
            </w:r>
          </w:p>
        </w:tc>
        <w:tc>
          <w:tcPr>
            <w:tcW w:w="120" w:type="dxa"/>
            <w:vAlign w:val="bottom"/>
          </w:tcPr>
          <w:p>
            <w:pPr>
              <w:ind w:left="2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(0.01)</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w w:val="99"/>
              </w:rPr>
              <w:t>Adjusted diluted earnings per share attributable to TechnipFMC</w:t>
            </w: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0"/>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plc</w:t>
            </w:r>
          </w:p>
        </w:tc>
        <w:tc>
          <w:tcPr>
            <w:tcW w:w="120" w:type="dxa"/>
            <w:vAlign w:val="bottom"/>
          </w:tcPr>
          <w:p>
            <w:pPr>
              <w:ind w:left="2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0.16</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43"/>
        </w:trPr>
        <w:tc>
          <w:tcPr>
            <w:tcW w:w="284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3"/>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7"/>
        </w:trPr>
        <w:tc>
          <w:tcPr>
            <w:tcW w:w="2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gridSpan w:val="3"/>
          </w:tcPr>
          <w:p>
            <w:pPr>
              <w:jc w:val="center"/>
              <w:ind w:right="100"/>
              <w:spacing w:after="0"/>
              <w:rPr>
                <w:sz w:val="20"/>
                <w:szCs w:val="20"/>
                <w:color w:val="auto"/>
              </w:rPr>
            </w:pPr>
            <w:r>
              <w:rPr>
                <w:rFonts w:ascii="Times New Roman" w:cs="Times New Roman" w:eastAsia="Times New Roman" w:hAnsi="Times New Roman"/>
                <w:sz w:val="11"/>
                <w:szCs w:val="11"/>
                <w:b w:val="1"/>
                <w:bCs w:val="1"/>
                <w:color w:val="auto"/>
                <w:w w:val="97"/>
              </w:rPr>
              <w:t>Three Months Ended</w:t>
            </w: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28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center"/>
              <w:ind w:right="180"/>
              <w:spacing w:after="0"/>
              <w:rPr>
                <w:sz w:val="20"/>
                <w:szCs w:val="20"/>
                <w:color w:val="auto"/>
              </w:rPr>
            </w:pPr>
            <w:r>
              <w:rPr>
                <w:rFonts w:ascii="Times New Roman" w:cs="Times New Roman" w:eastAsia="Times New Roman" w:hAnsi="Times New Roman"/>
                <w:sz w:val="11"/>
                <w:szCs w:val="11"/>
                <w:b w:val="1"/>
                <w:bCs w:val="1"/>
                <w:color w:val="auto"/>
                <w:w w:val="97"/>
              </w:rPr>
              <w:t>September 30, 2019</w:t>
            </w:r>
          </w:p>
        </w:tc>
        <w:tc>
          <w:tcPr>
            <w:tcW w:w="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
        </w:trPr>
        <w:tc>
          <w:tcPr>
            <w:tcW w:w="28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6"/>
        </w:trPr>
        <w:tc>
          <w:tcPr>
            <w:tcW w:w="2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26"/>
              <w:spacing w:after="0"/>
              <w:rPr>
                <w:sz w:val="20"/>
                <w:szCs w:val="20"/>
                <w:color w:val="auto"/>
              </w:rPr>
            </w:pPr>
            <w:r>
              <w:rPr>
                <w:rFonts w:ascii="Times New Roman" w:cs="Times New Roman" w:eastAsia="Times New Roman" w:hAnsi="Times New Roman"/>
                <w:sz w:val="11"/>
                <w:szCs w:val="11"/>
                <w:b w:val="1"/>
                <w:bCs w:val="1"/>
                <w:color w:val="auto"/>
                <w:w w:val="96"/>
              </w:rPr>
              <w:t>Earnings before net</w:t>
            </w:r>
          </w:p>
        </w:tc>
        <w:tc>
          <w:tcPr>
            <w:tcW w:w="0" w:type="dxa"/>
            <w:vAlign w:val="bottom"/>
          </w:tcPr>
          <w:p>
            <w:pPr>
              <w:spacing w:after="0"/>
              <w:rPr>
                <w:sz w:val="1"/>
                <w:szCs w:val="1"/>
                <w:color w:val="auto"/>
              </w:rPr>
            </w:pPr>
          </w:p>
        </w:tc>
      </w:tr>
      <w:tr>
        <w:trPr>
          <w:trHeight w:val="121"/>
        </w:trPr>
        <w:tc>
          <w:tcPr>
            <w:tcW w:w="2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6"/>
              <w:spacing w:after="0" w:line="122" w:lineRule="exact"/>
              <w:rPr>
                <w:sz w:val="20"/>
                <w:szCs w:val="20"/>
                <w:color w:val="auto"/>
              </w:rPr>
            </w:pPr>
            <w:r>
              <w:rPr>
                <w:rFonts w:ascii="Times New Roman" w:cs="Times New Roman" w:eastAsia="Times New Roman" w:hAnsi="Times New Roman"/>
                <w:sz w:val="11"/>
                <w:szCs w:val="11"/>
                <w:b w:val="1"/>
                <w:bCs w:val="1"/>
                <w:color w:val="auto"/>
                <w:w w:val="97"/>
              </w:rPr>
              <w:t>interest expense,</w:t>
            </w:r>
          </w:p>
        </w:tc>
        <w:tc>
          <w:tcPr>
            <w:tcW w:w="0" w:type="dxa"/>
            <w:vAlign w:val="bottom"/>
          </w:tcPr>
          <w:p>
            <w:pPr>
              <w:spacing w:after="0"/>
              <w:rPr>
                <w:sz w:val="1"/>
                <w:szCs w:val="1"/>
                <w:color w:val="auto"/>
              </w:rPr>
            </w:pPr>
          </w:p>
        </w:tc>
      </w:tr>
      <w:tr>
        <w:trPr>
          <w:trHeight w:val="122"/>
        </w:trPr>
        <w:tc>
          <w:tcPr>
            <w:tcW w:w="2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6"/>
              </w:rPr>
              <w:t>Income before net</w:t>
            </w: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26"/>
              <w:spacing w:after="0" w:line="122" w:lineRule="exact"/>
              <w:rPr>
                <w:sz w:val="20"/>
                <w:szCs w:val="20"/>
                <w:color w:val="auto"/>
              </w:rPr>
            </w:pPr>
            <w:r>
              <w:rPr>
                <w:rFonts w:ascii="Times New Roman" w:cs="Times New Roman" w:eastAsia="Times New Roman" w:hAnsi="Times New Roman"/>
                <w:sz w:val="11"/>
                <w:szCs w:val="11"/>
                <w:b w:val="1"/>
                <w:bCs w:val="1"/>
                <w:color w:val="auto"/>
                <w:w w:val="98"/>
              </w:rPr>
              <w:t>income taxes,</w:t>
            </w:r>
          </w:p>
        </w:tc>
        <w:tc>
          <w:tcPr>
            <w:tcW w:w="0" w:type="dxa"/>
            <w:vAlign w:val="bottom"/>
          </w:tcPr>
          <w:p>
            <w:pPr>
              <w:spacing w:after="0"/>
              <w:rPr>
                <w:sz w:val="1"/>
                <w:szCs w:val="1"/>
                <w:color w:val="auto"/>
              </w:rPr>
            </w:pPr>
          </w:p>
        </w:tc>
      </w:tr>
      <w:tr>
        <w:trPr>
          <w:trHeight w:val="121"/>
        </w:trPr>
        <w:tc>
          <w:tcPr>
            <w:tcW w:w="2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7"/>
              </w:rPr>
              <w:t>Net income (loss)</w:t>
            </w:r>
          </w:p>
        </w:tc>
        <w:tc>
          <w:tcPr>
            <w:tcW w:w="1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8"/>
              </w:rPr>
              <w:t>interest expense and</w:t>
            </w: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26"/>
              <w:spacing w:after="0" w:line="122" w:lineRule="exact"/>
              <w:rPr>
                <w:sz w:val="20"/>
                <w:szCs w:val="20"/>
                <w:color w:val="auto"/>
              </w:rPr>
            </w:pPr>
            <w:r>
              <w:rPr>
                <w:rFonts w:ascii="Times New Roman" w:cs="Times New Roman" w:eastAsia="Times New Roman" w:hAnsi="Times New Roman"/>
                <w:sz w:val="11"/>
                <w:szCs w:val="11"/>
                <w:b w:val="1"/>
                <w:bCs w:val="1"/>
                <w:color w:val="auto"/>
                <w:w w:val="98"/>
              </w:rPr>
              <w:t>depreciation and</w:t>
            </w:r>
          </w:p>
        </w:tc>
        <w:tc>
          <w:tcPr>
            <w:tcW w:w="0" w:type="dxa"/>
            <w:vAlign w:val="bottom"/>
          </w:tcPr>
          <w:p>
            <w:pPr>
              <w:spacing w:after="0"/>
              <w:rPr>
                <w:sz w:val="1"/>
                <w:szCs w:val="1"/>
                <w:color w:val="auto"/>
              </w:rPr>
            </w:pPr>
          </w:p>
        </w:tc>
      </w:tr>
      <w:tr>
        <w:trPr>
          <w:trHeight w:val="122"/>
        </w:trPr>
        <w:tc>
          <w:tcPr>
            <w:tcW w:w="2840" w:type="dxa"/>
            <w:vAlign w:val="bottom"/>
          </w:tcPr>
          <w:p>
            <w:pPr>
              <w:spacing w:after="0"/>
              <w:rPr>
                <w:sz w:val="10"/>
                <w:szCs w:val="10"/>
                <w:color w:val="auto"/>
              </w:rPr>
            </w:pPr>
          </w:p>
        </w:tc>
        <w:tc>
          <w:tcPr>
            <w:tcW w:w="1220" w:type="dxa"/>
            <w:vAlign w:val="bottom"/>
            <w:gridSpan w:val="3"/>
          </w:tcPr>
          <w:p>
            <w:pPr>
              <w:ind w:left="40"/>
              <w:spacing w:after="0" w:line="122" w:lineRule="exact"/>
              <w:rPr>
                <w:sz w:val="20"/>
                <w:szCs w:val="20"/>
                <w:color w:val="auto"/>
              </w:rPr>
            </w:pPr>
            <w:r>
              <w:rPr>
                <w:rFonts w:ascii="Times New Roman" w:cs="Times New Roman" w:eastAsia="Times New Roman" w:hAnsi="Times New Roman"/>
                <w:sz w:val="11"/>
                <w:szCs w:val="11"/>
                <w:b w:val="1"/>
                <w:bCs w:val="1"/>
                <w:color w:val="auto"/>
              </w:rPr>
              <w:t>Net loss attributable to</w:t>
            </w: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7"/>
              </w:rPr>
              <w:t>attributable to non-</w:t>
            </w:r>
          </w:p>
        </w:tc>
        <w:tc>
          <w:tcPr>
            <w:tcW w:w="1200" w:type="dxa"/>
            <w:vAlign w:val="bottom"/>
            <w:gridSpan w:val="3"/>
          </w:tcPr>
          <w:p>
            <w:pPr>
              <w:jc w:val="center"/>
              <w:ind w:right="100"/>
              <w:spacing w:after="0" w:line="122" w:lineRule="exact"/>
              <w:rPr>
                <w:sz w:val="20"/>
                <w:szCs w:val="20"/>
                <w:color w:val="auto"/>
              </w:rPr>
            </w:pPr>
            <w:r>
              <w:rPr>
                <w:rFonts w:ascii="Times New Roman" w:cs="Times New Roman" w:eastAsia="Times New Roman" w:hAnsi="Times New Roman"/>
                <w:sz w:val="11"/>
                <w:szCs w:val="11"/>
                <w:b w:val="1"/>
                <w:bCs w:val="1"/>
                <w:color w:val="auto"/>
                <w:w w:val="98"/>
              </w:rPr>
              <w:t>Provision (benefit) for</w:t>
            </w: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6"/>
              </w:rPr>
              <w:t>income taxes</w:t>
            </w:r>
          </w:p>
        </w:tc>
        <w:tc>
          <w:tcPr>
            <w:tcW w:w="120" w:type="dxa"/>
            <w:vAlign w:val="bottom"/>
          </w:tcPr>
          <w:p>
            <w:pPr>
              <w:spacing w:after="0"/>
              <w:rPr>
                <w:sz w:val="10"/>
                <w:szCs w:val="10"/>
                <w:color w:val="auto"/>
              </w:rPr>
            </w:pPr>
          </w:p>
        </w:tc>
        <w:tc>
          <w:tcPr>
            <w:tcW w:w="1100" w:type="dxa"/>
            <w:vAlign w:val="bottom"/>
            <w:gridSpan w:val="2"/>
          </w:tcPr>
          <w:p>
            <w:pPr>
              <w:jc w:val="center"/>
              <w:ind w:right="220"/>
              <w:spacing w:after="0" w:line="122" w:lineRule="exact"/>
              <w:rPr>
                <w:sz w:val="20"/>
                <w:szCs w:val="20"/>
                <w:color w:val="auto"/>
              </w:rPr>
            </w:pPr>
            <w:r>
              <w:rPr>
                <w:rFonts w:ascii="Times New Roman" w:cs="Times New Roman" w:eastAsia="Times New Roman" w:hAnsi="Times New Roman"/>
                <w:sz w:val="11"/>
                <w:szCs w:val="11"/>
                <w:b w:val="1"/>
                <w:bCs w:val="1"/>
                <w:color w:val="auto"/>
                <w:w w:val="98"/>
              </w:rPr>
              <w:t>Depreciation and</w:t>
            </w:r>
          </w:p>
        </w:tc>
        <w:tc>
          <w:tcPr>
            <w:tcW w:w="80" w:type="dxa"/>
            <w:vAlign w:val="bottom"/>
          </w:tcPr>
          <w:p>
            <w:pPr>
              <w:spacing w:after="0"/>
              <w:rPr>
                <w:sz w:val="10"/>
                <w:szCs w:val="10"/>
                <w:color w:val="auto"/>
              </w:rPr>
            </w:pPr>
          </w:p>
        </w:tc>
        <w:tc>
          <w:tcPr>
            <w:tcW w:w="1020" w:type="dxa"/>
            <w:vAlign w:val="bottom"/>
          </w:tcPr>
          <w:p>
            <w:pPr>
              <w:jc w:val="center"/>
              <w:ind w:right="26"/>
              <w:spacing w:after="0" w:line="122" w:lineRule="exact"/>
              <w:rPr>
                <w:sz w:val="20"/>
                <w:szCs w:val="20"/>
                <w:color w:val="auto"/>
              </w:rPr>
            </w:pPr>
            <w:r>
              <w:rPr>
                <w:rFonts w:ascii="Times New Roman" w:cs="Times New Roman" w:eastAsia="Times New Roman" w:hAnsi="Times New Roman"/>
                <w:sz w:val="11"/>
                <w:szCs w:val="11"/>
                <w:b w:val="1"/>
                <w:bCs w:val="1"/>
                <w:color w:val="auto"/>
                <w:w w:val="95"/>
              </w:rPr>
              <w:t>amortization</w:t>
            </w:r>
          </w:p>
        </w:tc>
        <w:tc>
          <w:tcPr>
            <w:tcW w:w="0" w:type="dxa"/>
            <w:vAlign w:val="bottom"/>
          </w:tcPr>
          <w:p>
            <w:pPr>
              <w:spacing w:after="0"/>
              <w:rPr>
                <w:sz w:val="1"/>
                <w:szCs w:val="1"/>
                <w:color w:val="auto"/>
              </w:rPr>
            </w:pPr>
          </w:p>
        </w:tc>
      </w:tr>
      <w:tr>
        <w:trPr>
          <w:trHeight w:val="142"/>
        </w:trPr>
        <w:tc>
          <w:tcPr>
            <w:tcW w:w="2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ind w:right="240"/>
              <w:spacing w:after="0"/>
              <w:rPr>
                <w:sz w:val="20"/>
                <w:szCs w:val="20"/>
                <w:color w:val="auto"/>
              </w:rPr>
            </w:pPr>
            <w:r>
              <w:rPr>
                <w:rFonts w:ascii="Times New Roman" w:cs="Times New Roman" w:eastAsia="Times New Roman" w:hAnsi="Times New Roman"/>
                <w:sz w:val="11"/>
                <w:szCs w:val="11"/>
                <w:b w:val="1"/>
                <w:bCs w:val="1"/>
                <w:color w:val="auto"/>
                <w:w w:val="96"/>
              </w:rPr>
              <w:t>TechnipFMC plc</w:t>
            </w:r>
          </w:p>
        </w:tc>
        <w:tc>
          <w:tcPr>
            <w:tcW w:w="80" w:type="dxa"/>
            <w:vAlign w:val="bottom"/>
          </w:tcPr>
          <w:p>
            <w:pPr>
              <w:spacing w:after="0"/>
              <w:rPr>
                <w:sz w:val="12"/>
                <w:szCs w:val="12"/>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w w:val="98"/>
              </w:rPr>
              <w:t>controlling interests</w:t>
            </w:r>
          </w:p>
        </w:tc>
        <w:tc>
          <w:tcPr>
            <w:tcW w:w="160" w:type="dxa"/>
            <w:vAlign w:val="bottom"/>
          </w:tcPr>
          <w:p>
            <w:pPr>
              <w:spacing w:after="0"/>
              <w:rPr>
                <w:sz w:val="12"/>
                <w:szCs w:val="12"/>
                <w:color w:val="auto"/>
              </w:rPr>
            </w:pPr>
          </w:p>
        </w:tc>
        <w:tc>
          <w:tcPr>
            <w:tcW w:w="1040" w:type="dxa"/>
            <w:vAlign w:val="bottom"/>
            <w:gridSpan w:val="2"/>
          </w:tcPr>
          <w:p>
            <w:pPr>
              <w:jc w:val="center"/>
              <w:ind w:right="260"/>
              <w:spacing w:after="0"/>
              <w:rPr>
                <w:sz w:val="20"/>
                <w:szCs w:val="20"/>
                <w:color w:val="auto"/>
              </w:rPr>
            </w:pPr>
            <w:r>
              <w:rPr>
                <w:rFonts w:ascii="Times New Roman" w:cs="Times New Roman" w:eastAsia="Times New Roman" w:hAnsi="Times New Roman"/>
                <w:sz w:val="11"/>
                <w:szCs w:val="11"/>
                <w:b w:val="1"/>
                <w:bCs w:val="1"/>
                <w:color w:val="auto"/>
                <w:w w:val="96"/>
              </w:rPr>
              <w:t>income taxes</w:t>
            </w:r>
          </w:p>
        </w:tc>
        <w:tc>
          <w:tcPr>
            <w:tcW w:w="80" w:type="dxa"/>
            <w:vAlign w:val="bottom"/>
          </w:tcPr>
          <w:p>
            <w:pPr>
              <w:spacing w:after="0"/>
              <w:rPr>
                <w:sz w:val="12"/>
                <w:szCs w:val="12"/>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w w:val="97"/>
              </w:rPr>
              <w:t>Net interest expense</w:t>
            </w:r>
          </w:p>
        </w:tc>
        <w:tc>
          <w:tcPr>
            <w:tcW w:w="80" w:type="dxa"/>
            <w:vAlign w:val="bottom"/>
          </w:tcPr>
          <w:p>
            <w:pPr>
              <w:spacing w:after="0"/>
              <w:rPr>
                <w:sz w:val="12"/>
                <w:szCs w:val="12"/>
                <w:color w:val="auto"/>
              </w:rPr>
            </w:pPr>
          </w:p>
        </w:tc>
        <w:tc>
          <w:tcPr>
            <w:tcW w:w="1120" w:type="dxa"/>
            <w:vAlign w:val="bottom"/>
            <w:gridSpan w:val="2"/>
          </w:tcPr>
          <w:p>
            <w:pPr>
              <w:jc w:val="center"/>
              <w:ind w:right="180"/>
              <w:spacing w:after="0"/>
              <w:rPr>
                <w:sz w:val="20"/>
                <w:szCs w:val="20"/>
                <w:color w:val="auto"/>
              </w:rPr>
            </w:pPr>
            <w:r>
              <w:rPr>
                <w:rFonts w:ascii="Times New Roman" w:cs="Times New Roman" w:eastAsia="Times New Roman" w:hAnsi="Times New Roman"/>
                <w:sz w:val="11"/>
                <w:szCs w:val="11"/>
                <w:b w:val="1"/>
                <w:bCs w:val="1"/>
                <w:color w:val="auto"/>
                <w:w w:val="96"/>
              </w:rPr>
              <w:t>(Operating profit)</w:t>
            </w:r>
          </w:p>
        </w:tc>
        <w:tc>
          <w:tcPr>
            <w:tcW w:w="120" w:type="dxa"/>
            <w:vAlign w:val="bottom"/>
          </w:tcPr>
          <w:p>
            <w:pPr>
              <w:spacing w:after="0"/>
              <w:rPr>
                <w:sz w:val="12"/>
                <w:szCs w:val="12"/>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1"/>
                <w:szCs w:val="11"/>
                <w:b w:val="1"/>
                <w:bCs w:val="1"/>
                <w:color w:val="auto"/>
                <w:w w:val="99"/>
              </w:rPr>
              <w:t>amortization</w:t>
            </w:r>
          </w:p>
        </w:tc>
        <w:tc>
          <w:tcPr>
            <w:tcW w:w="80" w:type="dxa"/>
            <w:vAlign w:val="bottom"/>
          </w:tcPr>
          <w:p>
            <w:pPr>
              <w:spacing w:after="0"/>
              <w:rPr>
                <w:sz w:val="12"/>
                <w:szCs w:val="12"/>
                <w:color w:val="auto"/>
              </w:rPr>
            </w:pPr>
          </w:p>
        </w:tc>
        <w:tc>
          <w:tcPr>
            <w:tcW w:w="1020" w:type="dxa"/>
            <w:vAlign w:val="bottom"/>
          </w:tcPr>
          <w:p>
            <w:pPr>
              <w:jc w:val="center"/>
              <w:ind w:right="6"/>
              <w:spacing w:after="0"/>
              <w:rPr>
                <w:sz w:val="20"/>
                <w:szCs w:val="20"/>
                <w:color w:val="auto"/>
              </w:rPr>
            </w:pPr>
            <w:r>
              <w:rPr>
                <w:rFonts w:ascii="Times New Roman" w:cs="Times New Roman" w:eastAsia="Times New Roman" w:hAnsi="Times New Roman"/>
                <w:sz w:val="11"/>
                <w:szCs w:val="11"/>
                <w:b w:val="1"/>
                <w:bCs w:val="1"/>
                <w:color w:val="auto"/>
                <w:w w:val="96"/>
              </w:rPr>
              <w:t>(EBITDA)</w:t>
            </w:r>
          </w:p>
        </w:tc>
        <w:tc>
          <w:tcPr>
            <w:tcW w:w="0" w:type="dxa"/>
            <w:vAlign w:val="bottom"/>
          </w:tcPr>
          <w:p>
            <w:pPr>
              <w:spacing w:after="0"/>
              <w:rPr>
                <w:sz w:val="1"/>
                <w:szCs w:val="1"/>
                <w:color w:val="auto"/>
              </w:rPr>
            </w:pPr>
          </w:p>
        </w:tc>
      </w:tr>
      <w:tr>
        <w:trPr>
          <w:trHeight w:val="22"/>
        </w:trPr>
        <w:tc>
          <w:tcPr>
            <w:tcW w:w="28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7"/>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TechnipFMC plc, as reported</w:t>
            </w:r>
          </w:p>
        </w:tc>
        <w:tc>
          <w:tcPr>
            <w:tcW w:w="120" w:type="dxa"/>
            <w:vAlign w:val="bottom"/>
          </w:tcPr>
          <w:p>
            <w:pPr>
              <w:ind w:left="2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(119.1)</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3.8</w:t>
            </w:r>
          </w:p>
        </w:tc>
        <w:tc>
          <w:tcPr>
            <w:tcW w:w="100" w:type="dxa"/>
            <w:vAlign w:val="bottom"/>
          </w:tcPr>
          <w:p>
            <w:pPr>
              <w:spacing w:after="0"/>
              <w:rPr>
                <w:sz w:val="12"/>
                <w:szCs w:val="12"/>
                <w:color w:val="auto"/>
              </w:rPr>
            </w:pPr>
          </w:p>
        </w:tc>
        <w:tc>
          <w:tcPr>
            <w:tcW w:w="16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w:t>
            </w: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81.1</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116.5</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82.3</w:t>
            </w:r>
          </w:p>
        </w:tc>
        <w:tc>
          <w:tcPr>
            <w:tcW w:w="100" w:type="dxa"/>
            <w:vAlign w:val="bottom"/>
          </w:tcPr>
          <w:p>
            <w:pPr>
              <w:spacing w:after="0"/>
              <w:rPr>
                <w:sz w:val="12"/>
                <w:szCs w:val="12"/>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141.6</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223.9</w:t>
            </w:r>
          </w:p>
        </w:tc>
        <w:tc>
          <w:tcPr>
            <w:tcW w:w="0" w:type="dxa"/>
            <w:vAlign w:val="bottom"/>
          </w:tcPr>
          <w:p>
            <w:pPr>
              <w:spacing w:after="0"/>
              <w:rPr>
                <w:sz w:val="1"/>
                <w:szCs w:val="1"/>
                <w:color w:val="auto"/>
              </w:rPr>
            </w:pPr>
          </w:p>
        </w:tc>
      </w:tr>
      <w:tr>
        <w:trPr>
          <w:trHeight w:val="338"/>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Charges and (credits):</w:t>
            </w: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Impairment and other charges</w:t>
            </w:r>
          </w:p>
        </w:tc>
        <w:tc>
          <w:tcPr>
            <w:tcW w:w="12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126.1</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0.2</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126.3</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126.3</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Restructuring and other charges</w:t>
            </w:r>
          </w:p>
        </w:tc>
        <w:tc>
          <w:tcPr>
            <w:tcW w:w="12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12.3</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1.7</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14.0</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14.0</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Business combination transaction and integration costs</w:t>
            </w:r>
          </w:p>
        </w:tc>
        <w:tc>
          <w:tcPr>
            <w:tcW w:w="12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6.1</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0.1</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6.2</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6.2</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Separation costs</w:t>
            </w:r>
          </w:p>
        </w:tc>
        <w:tc>
          <w:tcPr>
            <w:tcW w:w="12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7.5</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1.9</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9.4</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9.4</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Legal provision, net</w:t>
            </w:r>
          </w:p>
        </w:tc>
        <w:tc>
          <w:tcPr>
            <w:tcW w:w="1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(0.6)</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spacing w:after="0"/>
              <w:rPr>
                <w:sz w:val="15"/>
                <w:szCs w:val="15"/>
                <w:color w:val="auto"/>
              </w:rPr>
            </w:pPr>
          </w:p>
        </w:tc>
        <w:tc>
          <w:tcPr>
            <w:tcW w:w="104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(0.6)</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(0.6)</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Purchase price accounting adjustment</w:t>
            </w:r>
          </w:p>
        </w:tc>
        <w:tc>
          <w:tcPr>
            <w:tcW w:w="12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6.5</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2.0</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8.5</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(8.5)</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w:t>
            </w:r>
          </w:p>
        </w:tc>
        <w:tc>
          <w:tcPr>
            <w:tcW w:w="0" w:type="dxa"/>
            <w:vAlign w:val="bottom"/>
          </w:tcPr>
          <w:p>
            <w:pPr>
              <w:spacing w:after="0"/>
              <w:rPr>
                <w:sz w:val="1"/>
                <w:szCs w:val="1"/>
                <w:color w:val="auto"/>
              </w:rPr>
            </w:pPr>
          </w:p>
        </w:tc>
      </w:tr>
      <w:tr>
        <w:trPr>
          <w:trHeight w:val="176"/>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Valuation allowance</w:t>
            </w:r>
          </w:p>
        </w:tc>
        <w:tc>
          <w:tcPr>
            <w:tcW w:w="12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15.0</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6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(15.0)</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w:t>
            </w:r>
          </w:p>
        </w:tc>
        <w:tc>
          <w:tcPr>
            <w:tcW w:w="0" w:type="dxa"/>
            <w:vAlign w:val="bottom"/>
          </w:tcPr>
          <w:p>
            <w:pPr>
              <w:spacing w:after="0"/>
              <w:rPr>
                <w:sz w:val="1"/>
                <w:szCs w:val="1"/>
                <w:color w:val="auto"/>
              </w:rPr>
            </w:pPr>
          </w:p>
        </w:tc>
      </w:tr>
      <w:tr>
        <w:trPr>
          <w:trHeight w:val="22"/>
        </w:trPr>
        <w:tc>
          <w:tcPr>
            <w:tcW w:w="28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9"/>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Adjusted financial measures</w:t>
            </w:r>
          </w:p>
        </w:tc>
        <w:tc>
          <w:tcPr>
            <w:tcW w:w="1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53.8</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3.8</w:t>
            </w:r>
          </w:p>
        </w:tc>
        <w:tc>
          <w:tcPr>
            <w:tcW w:w="100" w:type="dxa"/>
            <w:vAlign w:val="bottom"/>
          </w:tcPr>
          <w:p>
            <w:pPr>
              <w:spacing w:after="0"/>
              <w:rPr>
                <w:sz w:val="14"/>
                <w:szCs w:val="14"/>
                <w:color w:val="auto"/>
              </w:rPr>
            </w:pPr>
          </w:p>
        </w:tc>
        <w:tc>
          <w:tcPr>
            <w:tcW w:w="16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w:t>
            </w:r>
          </w:p>
        </w:tc>
        <w:tc>
          <w:tcPr>
            <w:tcW w:w="94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72.0</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116.5</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246.1</w:t>
            </w:r>
          </w:p>
        </w:tc>
        <w:tc>
          <w:tcPr>
            <w:tcW w:w="100" w:type="dxa"/>
            <w:vAlign w:val="bottom"/>
          </w:tcPr>
          <w:p>
            <w:pPr>
              <w:spacing w:after="0"/>
              <w:rPr>
                <w:sz w:val="14"/>
                <w:szCs w:val="14"/>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133.1</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Borders>
              <w:bottom w:val="single" w:sz="8" w:color="auto"/>
            </w:tcBorders>
          </w:tcPr>
          <w:p>
            <w:pPr>
              <w:jc w:val="right"/>
              <w:ind w:right="6"/>
              <w:spacing w:after="0"/>
              <w:rPr>
                <w:sz w:val="20"/>
                <w:szCs w:val="20"/>
                <w:color w:val="auto"/>
              </w:rPr>
            </w:pPr>
            <w:r>
              <w:rPr>
                <w:rFonts w:ascii="Times New Roman" w:cs="Times New Roman" w:eastAsia="Times New Roman" w:hAnsi="Times New Roman"/>
                <w:sz w:val="11"/>
                <w:szCs w:val="11"/>
                <w:color w:val="auto"/>
              </w:rPr>
              <w:t>379.2</w:t>
            </w:r>
          </w:p>
        </w:tc>
        <w:tc>
          <w:tcPr>
            <w:tcW w:w="0" w:type="dxa"/>
            <w:vAlign w:val="bottom"/>
          </w:tcPr>
          <w:p>
            <w:pPr>
              <w:spacing w:after="0"/>
              <w:rPr>
                <w:sz w:val="1"/>
                <w:szCs w:val="1"/>
                <w:color w:val="auto"/>
              </w:rPr>
            </w:pPr>
          </w:p>
        </w:tc>
      </w:tr>
      <w:tr>
        <w:trPr>
          <w:trHeight w:val="20"/>
        </w:trPr>
        <w:tc>
          <w:tcPr>
            <w:tcW w:w="2840" w:type="dxa"/>
            <w:vAlign w:val="bottom"/>
            <w:vMerge w:val="restart"/>
          </w:tcPr>
          <w:p>
            <w:pPr>
              <w:spacing w:after="0"/>
              <w:rPr>
                <w:sz w:val="20"/>
                <w:szCs w:val="20"/>
                <w:color w:val="auto"/>
              </w:rPr>
            </w:pPr>
            <w:r>
              <w:rPr>
                <w:rFonts w:ascii="Times New Roman" w:cs="Times New Roman" w:eastAsia="Times New Roman" w:hAnsi="Times New Roman"/>
                <w:sz w:val="11"/>
                <w:szCs w:val="11"/>
                <w:color w:val="auto"/>
                <w:w w:val="97"/>
              </w:rPr>
              <w:t>Diluted earnings (loss) per share attributable to TechnipFMC plc,</w:t>
            </w: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3"/>
        </w:trPr>
        <w:tc>
          <w:tcPr>
            <w:tcW w:w="2840" w:type="dxa"/>
            <w:vAlign w:val="bottom"/>
            <w:vMerge w:val="continue"/>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0"/>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as reported</w:t>
            </w:r>
          </w:p>
        </w:tc>
        <w:tc>
          <w:tcPr>
            <w:tcW w:w="120" w:type="dxa"/>
            <w:vAlign w:val="bottom"/>
          </w:tcPr>
          <w:p>
            <w:pPr>
              <w:ind w:left="2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(0.27)</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w w:val="99"/>
              </w:rPr>
              <w:t>Adjusted diluted earnings per share attributable to TechnipFMC</w:t>
            </w: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0"/>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plc</w:t>
            </w:r>
          </w:p>
        </w:tc>
        <w:tc>
          <w:tcPr>
            <w:tcW w:w="120" w:type="dxa"/>
            <w:vAlign w:val="bottom"/>
          </w:tcPr>
          <w:p>
            <w:pPr>
              <w:ind w:left="2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0.12</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5040"/>
        <w:spacing w:after="0"/>
        <w:tabs>
          <w:tab w:leader="none" w:pos="1026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22 of 26</w:t>
      </w:r>
    </w:p>
    <w:p>
      <w:pPr>
        <w:sectPr>
          <w:pgSz w:w="11900" w:h="16838" w:orient="portrait"/>
          <w:cols w:equalWidth="0" w:num="1">
            <w:col w:w="11240"/>
          </w:cols>
          <w:pgMar w:left="320" w:top="1051" w:right="339" w:bottom="1440" w:gutter="0" w:footer="0" w:header="0"/>
        </w:sectPr>
      </w:pPr>
    </w:p>
    <w:bookmarkStart w:id="26" w:name="page27"/>
    <w:bookmarkEnd w:id="26"/>
    <w:p>
      <w:pPr>
        <w:ind w:left="10740"/>
        <w:spacing w:after="0"/>
        <w:rPr>
          <w:sz w:val="20"/>
          <w:szCs w:val="20"/>
          <w:color w:val="auto"/>
        </w:rPr>
      </w:pPr>
      <w:r>
        <w:rPr>
          <w:rFonts w:ascii="Times New Roman" w:cs="Times New Roman" w:eastAsia="Times New Roman" w:hAnsi="Times New Roman"/>
          <w:sz w:val="12"/>
          <w:szCs w:val="12"/>
          <w:b w:val="1"/>
          <w:bCs w:val="1"/>
          <w:color w:val="auto"/>
        </w:rPr>
        <w:t>Exhibit 9</w:t>
      </w:r>
    </w:p>
    <w:p>
      <w:pPr>
        <w:spacing w:after="0" w:line="1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3"/>
          <w:szCs w:val="13"/>
          <w:b w:val="1"/>
          <w:bCs w:val="1"/>
          <w:u w:val="single" w:color="auto"/>
          <w:color w:val="auto"/>
        </w:rPr>
        <w:t>TECHNIPFMC PLC AND CONSOLIDATED SUBSIDIARIES</w:t>
      </w:r>
    </w:p>
    <w:p>
      <w:pPr>
        <w:spacing w:after="0" w:line="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3"/>
          <w:szCs w:val="13"/>
          <w:b w:val="1"/>
          <w:bCs w:val="1"/>
          <w:u w:val="single" w:color="auto"/>
          <w:color w:val="auto"/>
        </w:rPr>
        <w:t>RECONCILIATION OF GAAP TO NON-GAAP FINANCIAL MEASURES</w:t>
      </w:r>
    </w:p>
    <w:p>
      <w:pPr>
        <w:jc w:val="center"/>
        <w:spacing w:after="0"/>
        <w:rPr>
          <w:sz w:val="20"/>
          <w:szCs w:val="20"/>
          <w:color w:val="auto"/>
        </w:rPr>
      </w:pPr>
      <w:r>
        <w:rPr>
          <w:rFonts w:ascii="Times New Roman" w:cs="Times New Roman" w:eastAsia="Times New Roman" w:hAnsi="Times New Roman"/>
          <w:sz w:val="13"/>
          <w:szCs w:val="13"/>
          <w:b w:val="1"/>
          <w:bCs w:val="1"/>
          <w:color w:val="auto"/>
        </w:rPr>
        <w:t>(In millions, unaudited)</w:t>
      </w:r>
    </w:p>
    <w:p>
      <w:pPr>
        <w:spacing w:after="0" w:line="2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3"/>
          <w:szCs w:val="13"/>
          <w:b w:val="1"/>
          <w:bCs w:val="1"/>
          <w:color w:val="auto"/>
        </w:rPr>
        <w:t>Charges and Credits</w:t>
      </w:r>
    </w:p>
    <w:p>
      <w:pPr>
        <w:spacing w:after="0" w:line="1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2"/>
          <w:szCs w:val="12"/>
          <w:color w:val="auto"/>
        </w:rPr>
        <w:t>In addition to financial results determined in accordance with U.S. generally accepted accounting principles (GAAP), the third quarter 2020 Earnings Release also includes non-GAAP financial measures (as defined in Item 10 of Regulation S-K of the Securities Exchange Act of 1934, as amended) and describes performance on a year-over-year basis against 2019 results and measures. Net income, excluding charges and credits, as well as measures derived from it (including Diluted EPS, excluding charges and credits; Income before net interest expense and taxes, excluding charges and credits ("Adjusted Operating profit"); Depreciation and amortization, excluding charges and credits; Earnings before net interest expense, income taxes, depreciation and amortization, excluding charges and credits ("Adjusted EBITDA"); and net cash) are non-GAAP financial measures. Management believes that the exclusion of charges and credits from these financial measures enables investors and management to more effectively evaluate TechnipFMC's operations and consolidated results of operations period-over-period, and to identify operating trends that could otherwise be masked or misleading to both investors and management by the excluded items. These measures are also used by management as performance measures in determining certain incentive compensation. The foregoing non-GAAP financial measures should be considered by investors in addition to, not as a substitute for or superior to, other measures of financial performance prepared in accordance with GAAP. The following is a reconciliation of the most comparable financial measures under GAAP to the non-GAAP financial measures.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1830705</wp:posOffset>
            </wp:positionH>
            <wp:positionV relativeFrom="paragraph">
              <wp:posOffset>80645</wp:posOffset>
            </wp:positionV>
            <wp:extent cx="529780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297805" cy="8255"/>
                    </a:xfrm>
                    <a:prstGeom prst="rect">
                      <a:avLst/>
                    </a:prstGeom>
                    <a:noFill/>
                  </pic:spPr>
                </pic:pic>
              </a:graphicData>
            </a:graphic>
          </wp:anchor>
        </w:drawing>
      </w:r>
    </w:p>
    <w:p>
      <w:pPr>
        <w:spacing w:after="0" w:line="131" w:lineRule="exact"/>
        <w:rPr>
          <w:sz w:val="20"/>
          <w:szCs w:val="20"/>
          <w:color w:val="auto"/>
        </w:rPr>
      </w:pPr>
    </w:p>
    <w:tbl>
      <w:tblPr>
        <w:tblLayout w:type="fixed"/>
        <w:tblInd w:w="40" w:type="dxa"/>
        <w:tblCellMar>
          <w:top w:w="0" w:type="dxa"/>
          <w:left w:w="0" w:type="dxa"/>
          <w:bottom w:w="0" w:type="dxa"/>
          <w:right w:w="0" w:type="dxa"/>
        </w:tblCellMar>
      </w:tblPr>
      <w:tr>
        <w:trPr>
          <w:trHeight w:val="142"/>
        </w:trPr>
        <w:tc>
          <w:tcPr>
            <w:tcW w:w="28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gridSpan w:val="2"/>
          </w:tcPr>
          <w:p>
            <w:pPr>
              <w:jc w:val="center"/>
              <w:ind w:right="160"/>
              <w:spacing w:after="0"/>
              <w:rPr>
                <w:sz w:val="20"/>
                <w:szCs w:val="20"/>
                <w:color w:val="auto"/>
              </w:rPr>
            </w:pPr>
            <w:r>
              <w:rPr>
                <w:rFonts w:ascii="Times New Roman" w:cs="Times New Roman" w:eastAsia="Times New Roman" w:hAnsi="Times New Roman"/>
                <w:sz w:val="11"/>
                <w:szCs w:val="11"/>
                <w:b w:val="1"/>
                <w:bCs w:val="1"/>
                <w:color w:val="auto"/>
                <w:w w:val="97"/>
              </w:rPr>
              <w:t>Nine Months Ended</w:t>
            </w: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2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center"/>
              <w:ind w:right="180"/>
              <w:spacing w:after="0"/>
              <w:rPr>
                <w:sz w:val="20"/>
                <w:szCs w:val="20"/>
                <w:color w:val="auto"/>
              </w:rPr>
            </w:pPr>
            <w:r>
              <w:rPr>
                <w:rFonts w:ascii="Times New Roman" w:cs="Times New Roman" w:eastAsia="Times New Roman" w:hAnsi="Times New Roman"/>
                <w:sz w:val="11"/>
                <w:szCs w:val="11"/>
                <w:b w:val="1"/>
                <w:bCs w:val="1"/>
                <w:color w:val="auto"/>
                <w:w w:val="97"/>
              </w:rPr>
              <w:t>September 30, 2020</w:t>
            </w:r>
          </w:p>
        </w:tc>
        <w:tc>
          <w:tcPr>
            <w:tcW w:w="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
        </w:trPr>
        <w:tc>
          <w:tcPr>
            <w:tcW w:w="28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6"/>
        </w:trPr>
        <w:tc>
          <w:tcPr>
            <w:tcW w:w="2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26"/>
              <w:spacing w:after="0"/>
              <w:rPr>
                <w:sz w:val="20"/>
                <w:szCs w:val="20"/>
                <w:color w:val="auto"/>
              </w:rPr>
            </w:pPr>
            <w:r>
              <w:rPr>
                <w:rFonts w:ascii="Times New Roman" w:cs="Times New Roman" w:eastAsia="Times New Roman" w:hAnsi="Times New Roman"/>
                <w:sz w:val="11"/>
                <w:szCs w:val="11"/>
                <w:b w:val="1"/>
                <w:bCs w:val="1"/>
                <w:color w:val="auto"/>
                <w:w w:val="96"/>
              </w:rPr>
              <w:t>Earnings before net</w:t>
            </w:r>
          </w:p>
        </w:tc>
        <w:tc>
          <w:tcPr>
            <w:tcW w:w="0" w:type="dxa"/>
            <w:vAlign w:val="bottom"/>
          </w:tcPr>
          <w:p>
            <w:pPr>
              <w:spacing w:after="0"/>
              <w:rPr>
                <w:sz w:val="1"/>
                <w:szCs w:val="1"/>
                <w:color w:val="auto"/>
              </w:rPr>
            </w:pPr>
          </w:p>
        </w:tc>
      </w:tr>
      <w:tr>
        <w:trPr>
          <w:trHeight w:val="122"/>
        </w:trPr>
        <w:tc>
          <w:tcPr>
            <w:tcW w:w="2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6"/>
              <w:spacing w:after="0" w:line="122" w:lineRule="exact"/>
              <w:rPr>
                <w:sz w:val="20"/>
                <w:szCs w:val="20"/>
                <w:color w:val="auto"/>
              </w:rPr>
            </w:pPr>
            <w:r>
              <w:rPr>
                <w:rFonts w:ascii="Times New Roman" w:cs="Times New Roman" w:eastAsia="Times New Roman" w:hAnsi="Times New Roman"/>
                <w:sz w:val="11"/>
                <w:szCs w:val="11"/>
                <w:b w:val="1"/>
                <w:bCs w:val="1"/>
                <w:color w:val="auto"/>
                <w:w w:val="97"/>
              </w:rPr>
              <w:t>interest expense,</w:t>
            </w:r>
          </w:p>
        </w:tc>
        <w:tc>
          <w:tcPr>
            <w:tcW w:w="0" w:type="dxa"/>
            <w:vAlign w:val="bottom"/>
          </w:tcPr>
          <w:p>
            <w:pPr>
              <w:spacing w:after="0"/>
              <w:rPr>
                <w:sz w:val="1"/>
                <w:szCs w:val="1"/>
                <w:color w:val="auto"/>
              </w:rPr>
            </w:pPr>
          </w:p>
        </w:tc>
      </w:tr>
      <w:tr>
        <w:trPr>
          <w:trHeight w:val="122"/>
        </w:trPr>
        <w:tc>
          <w:tcPr>
            <w:tcW w:w="2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9"/>
              </w:rPr>
              <w:t>Income (loss) before</w:t>
            </w: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26"/>
              <w:spacing w:after="0" w:line="122" w:lineRule="exact"/>
              <w:rPr>
                <w:sz w:val="20"/>
                <w:szCs w:val="20"/>
                <w:color w:val="auto"/>
              </w:rPr>
            </w:pPr>
            <w:r>
              <w:rPr>
                <w:rFonts w:ascii="Times New Roman" w:cs="Times New Roman" w:eastAsia="Times New Roman" w:hAnsi="Times New Roman"/>
                <w:sz w:val="11"/>
                <w:szCs w:val="11"/>
                <w:b w:val="1"/>
                <w:bCs w:val="1"/>
                <w:color w:val="auto"/>
                <w:w w:val="98"/>
              </w:rPr>
              <w:t>income taxes,</w:t>
            </w:r>
          </w:p>
        </w:tc>
        <w:tc>
          <w:tcPr>
            <w:tcW w:w="0" w:type="dxa"/>
            <w:vAlign w:val="bottom"/>
          </w:tcPr>
          <w:p>
            <w:pPr>
              <w:spacing w:after="0"/>
              <w:rPr>
                <w:sz w:val="1"/>
                <w:szCs w:val="1"/>
                <w:color w:val="auto"/>
              </w:rPr>
            </w:pPr>
          </w:p>
        </w:tc>
      </w:tr>
      <w:tr>
        <w:trPr>
          <w:trHeight w:val="122"/>
        </w:trPr>
        <w:tc>
          <w:tcPr>
            <w:tcW w:w="2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00" w:type="dxa"/>
            <w:vAlign w:val="bottom"/>
            <w:gridSpan w:val="2"/>
          </w:tcPr>
          <w:p>
            <w:pPr>
              <w:jc w:val="center"/>
              <w:ind w:right="240"/>
              <w:spacing w:after="0" w:line="122" w:lineRule="exact"/>
              <w:rPr>
                <w:sz w:val="20"/>
                <w:szCs w:val="20"/>
                <w:color w:val="auto"/>
              </w:rPr>
            </w:pPr>
            <w:r>
              <w:rPr>
                <w:rFonts w:ascii="Times New Roman" w:cs="Times New Roman" w:eastAsia="Times New Roman" w:hAnsi="Times New Roman"/>
                <w:sz w:val="11"/>
                <w:szCs w:val="11"/>
                <w:b w:val="1"/>
                <w:bCs w:val="1"/>
                <w:color w:val="auto"/>
                <w:w w:val="97"/>
              </w:rPr>
              <w:t>Net income (loss)</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7"/>
              </w:rPr>
              <w:t>Net income (loss)</w:t>
            </w: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7"/>
              </w:rPr>
              <w:t>net interest expense</w:t>
            </w: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26"/>
              <w:spacing w:after="0" w:line="122" w:lineRule="exact"/>
              <w:rPr>
                <w:sz w:val="20"/>
                <w:szCs w:val="20"/>
                <w:color w:val="auto"/>
              </w:rPr>
            </w:pPr>
            <w:r>
              <w:rPr>
                <w:rFonts w:ascii="Times New Roman" w:cs="Times New Roman" w:eastAsia="Times New Roman" w:hAnsi="Times New Roman"/>
                <w:sz w:val="11"/>
                <w:szCs w:val="11"/>
                <w:b w:val="1"/>
                <w:bCs w:val="1"/>
                <w:color w:val="auto"/>
                <w:w w:val="98"/>
              </w:rPr>
              <w:t>depreciation and</w:t>
            </w:r>
          </w:p>
        </w:tc>
        <w:tc>
          <w:tcPr>
            <w:tcW w:w="0" w:type="dxa"/>
            <w:vAlign w:val="bottom"/>
          </w:tcPr>
          <w:p>
            <w:pPr>
              <w:spacing w:after="0"/>
              <w:rPr>
                <w:sz w:val="1"/>
                <w:szCs w:val="1"/>
                <w:color w:val="auto"/>
              </w:rPr>
            </w:pPr>
          </w:p>
        </w:tc>
      </w:tr>
      <w:tr>
        <w:trPr>
          <w:trHeight w:val="121"/>
        </w:trPr>
        <w:tc>
          <w:tcPr>
            <w:tcW w:w="2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00" w:type="dxa"/>
            <w:vAlign w:val="bottom"/>
            <w:gridSpan w:val="2"/>
          </w:tcPr>
          <w:p>
            <w:pPr>
              <w:jc w:val="center"/>
              <w:ind w:right="220"/>
              <w:spacing w:after="0" w:line="122" w:lineRule="exact"/>
              <w:rPr>
                <w:sz w:val="20"/>
                <w:szCs w:val="20"/>
                <w:color w:val="auto"/>
              </w:rPr>
            </w:pPr>
            <w:r>
              <w:rPr>
                <w:rFonts w:ascii="Times New Roman" w:cs="Times New Roman" w:eastAsia="Times New Roman" w:hAnsi="Times New Roman"/>
                <w:sz w:val="11"/>
                <w:szCs w:val="11"/>
                <w:b w:val="1"/>
                <w:bCs w:val="1"/>
                <w:color w:val="auto"/>
                <w:w w:val="99"/>
              </w:rPr>
              <w:t>attributable to</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7"/>
              </w:rPr>
              <w:t>attributable to non-</w:t>
            </w:r>
          </w:p>
        </w:tc>
        <w:tc>
          <w:tcPr>
            <w:tcW w:w="20" w:type="dxa"/>
            <w:vAlign w:val="bottom"/>
          </w:tcPr>
          <w:p>
            <w:pPr>
              <w:spacing w:after="0"/>
              <w:rPr>
                <w:sz w:val="10"/>
                <w:szCs w:val="10"/>
                <w:color w:val="auto"/>
              </w:rPr>
            </w:pPr>
          </w:p>
        </w:tc>
        <w:tc>
          <w:tcPr>
            <w:tcW w:w="1180" w:type="dxa"/>
            <w:vAlign w:val="bottom"/>
            <w:gridSpan w:val="3"/>
          </w:tcPr>
          <w:p>
            <w:pPr>
              <w:jc w:val="center"/>
              <w:ind w:right="120"/>
              <w:spacing w:after="0" w:line="122" w:lineRule="exact"/>
              <w:rPr>
                <w:sz w:val="20"/>
                <w:szCs w:val="20"/>
                <w:color w:val="auto"/>
              </w:rPr>
            </w:pPr>
            <w:r>
              <w:rPr>
                <w:rFonts w:ascii="Times New Roman" w:cs="Times New Roman" w:eastAsia="Times New Roman" w:hAnsi="Times New Roman"/>
                <w:sz w:val="11"/>
                <w:szCs w:val="11"/>
                <w:b w:val="1"/>
                <w:bCs w:val="1"/>
                <w:color w:val="auto"/>
                <w:w w:val="98"/>
              </w:rPr>
              <w:t>Provision (benefit) for</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6"/>
              </w:rPr>
              <w:t>and income taxes</w:t>
            </w:r>
          </w:p>
        </w:tc>
        <w:tc>
          <w:tcPr>
            <w:tcW w:w="120" w:type="dxa"/>
            <w:vAlign w:val="bottom"/>
          </w:tcPr>
          <w:p>
            <w:pPr>
              <w:spacing w:after="0"/>
              <w:rPr>
                <w:sz w:val="10"/>
                <w:szCs w:val="10"/>
                <w:color w:val="auto"/>
              </w:rPr>
            </w:pPr>
          </w:p>
        </w:tc>
        <w:tc>
          <w:tcPr>
            <w:tcW w:w="1100" w:type="dxa"/>
            <w:vAlign w:val="bottom"/>
            <w:gridSpan w:val="2"/>
          </w:tcPr>
          <w:p>
            <w:pPr>
              <w:jc w:val="center"/>
              <w:ind w:right="220"/>
              <w:spacing w:after="0" w:line="122" w:lineRule="exact"/>
              <w:rPr>
                <w:sz w:val="20"/>
                <w:szCs w:val="20"/>
                <w:color w:val="auto"/>
              </w:rPr>
            </w:pPr>
            <w:r>
              <w:rPr>
                <w:rFonts w:ascii="Times New Roman" w:cs="Times New Roman" w:eastAsia="Times New Roman" w:hAnsi="Times New Roman"/>
                <w:sz w:val="11"/>
                <w:szCs w:val="11"/>
                <w:b w:val="1"/>
                <w:bCs w:val="1"/>
                <w:color w:val="auto"/>
                <w:w w:val="98"/>
              </w:rPr>
              <w:t>Depreciation and</w:t>
            </w:r>
          </w:p>
        </w:tc>
        <w:tc>
          <w:tcPr>
            <w:tcW w:w="80" w:type="dxa"/>
            <w:vAlign w:val="bottom"/>
          </w:tcPr>
          <w:p>
            <w:pPr>
              <w:spacing w:after="0"/>
              <w:rPr>
                <w:sz w:val="10"/>
                <w:szCs w:val="10"/>
                <w:color w:val="auto"/>
              </w:rPr>
            </w:pPr>
          </w:p>
        </w:tc>
        <w:tc>
          <w:tcPr>
            <w:tcW w:w="1020" w:type="dxa"/>
            <w:vAlign w:val="bottom"/>
          </w:tcPr>
          <w:p>
            <w:pPr>
              <w:jc w:val="center"/>
              <w:ind w:right="26"/>
              <w:spacing w:after="0" w:line="122" w:lineRule="exact"/>
              <w:rPr>
                <w:sz w:val="20"/>
                <w:szCs w:val="20"/>
                <w:color w:val="auto"/>
              </w:rPr>
            </w:pPr>
            <w:r>
              <w:rPr>
                <w:rFonts w:ascii="Times New Roman" w:cs="Times New Roman" w:eastAsia="Times New Roman" w:hAnsi="Times New Roman"/>
                <w:sz w:val="11"/>
                <w:szCs w:val="11"/>
                <w:b w:val="1"/>
                <w:bCs w:val="1"/>
                <w:color w:val="auto"/>
                <w:w w:val="95"/>
              </w:rPr>
              <w:t>amortization</w:t>
            </w:r>
          </w:p>
        </w:tc>
        <w:tc>
          <w:tcPr>
            <w:tcW w:w="0" w:type="dxa"/>
            <w:vAlign w:val="bottom"/>
          </w:tcPr>
          <w:p>
            <w:pPr>
              <w:spacing w:after="0"/>
              <w:rPr>
                <w:sz w:val="1"/>
                <w:szCs w:val="1"/>
                <w:color w:val="auto"/>
              </w:rPr>
            </w:pPr>
          </w:p>
        </w:tc>
      </w:tr>
      <w:tr>
        <w:trPr>
          <w:trHeight w:val="142"/>
        </w:trPr>
        <w:tc>
          <w:tcPr>
            <w:tcW w:w="28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2"/>
          </w:tcPr>
          <w:p>
            <w:pPr>
              <w:jc w:val="center"/>
              <w:ind w:right="240"/>
              <w:spacing w:after="0"/>
              <w:rPr>
                <w:sz w:val="20"/>
                <w:szCs w:val="20"/>
                <w:color w:val="auto"/>
              </w:rPr>
            </w:pPr>
            <w:r>
              <w:rPr>
                <w:rFonts w:ascii="Times New Roman" w:cs="Times New Roman" w:eastAsia="Times New Roman" w:hAnsi="Times New Roman"/>
                <w:sz w:val="11"/>
                <w:szCs w:val="11"/>
                <w:b w:val="1"/>
                <w:bCs w:val="1"/>
                <w:color w:val="auto"/>
                <w:w w:val="96"/>
              </w:rPr>
              <w:t>TechnipFMC plc</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w w:val="98"/>
              </w:rPr>
              <w:t>controlling interests</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gridSpan w:val="2"/>
          </w:tcPr>
          <w:p>
            <w:pPr>
              <w:jc w:val="center"/>
              <w:ind w:right="260"/>
              <w:spacing w:after="0"/>
              <w:rPr>
                <w:sz w:val="20"/>
                <w:szCs w:val="20"/>
                <w:color w:val="auto"/>
              </w:rPr>
            </w:pPr>
            <w:r>
              <w:rPr>
                <w:rFonts w:ascii="Times New Roman" w:cs="Times New Roman" w:eastAsia="Times New Roman" w:hAnsi="Times New Roman"/>
                <w:sz w:val="11"/>
                <w:szCs w:val="11"/>
                <w:b w:val="1"/>
                <w:bCs w:val="1"/>
                <w:color w:val="auto"/>
                <w:w w:val="96"/>
              </w:rPr>
              <w:t>income taxes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w w:val="97"/>
              </w:rPr>
              <w:t>Net interest expense</w:t>
            </w:r>
          </w:p>
        </w:tc>
        <w:tc>
          <w:tcPr>
            <w:tcW w:w="80" w:type="dxa"/>
            <w:vAlign w:val="bottom"/>
          </w:tcPr>
          <w:p>
            <w:pPr>
              <w:spacing w:after="0"/>
              <w:rPr>
                <w:sz w:val="12"/>
                <w:szCs w:val="12"/>
                <w:color w:val="auto"/>
              </w:rPr>
            </w:pPr>
          </w:p>
        </w:tc>
        <w:tc>
          <w:tcPr>
            <w:tcW w:w="1120" w:type="dxa"/>
            <w:vAlign w:val="bottom"/>
            <w:gridSpan w:val="2"/>
          </w:tcPr>
          <w:p>
            <w:pPr>
              <w:jc w:val="center"/>
              <w:ind w:right="180"/>
              <w:spacing w:after="0"/>
              <w:rPr>
                <w:sz w:val="20"/>
                <w:szCs w:val="20"/>
                <w:color w:val="auto"/>
              </w:rPr>
            </w:pPr>
            <w:r>
              <w:rPr>
                <w:rFonts w:ascii="Times New Roman" w:cs="Times New Roman" w:eastAsia="Times New Roman" w:hAnsi="Times New Roman"/>
                <w:sz w:val="11"/>
                <w:szCs w:val="11"/>
                <w:b w:val="1"/>
                <w:bCs w:val="1"/>
                <w:color w:val="auto"/>
                <w:w w:val="96"/>
              </w:rPr>
              <w:t>(Operating profit)</w:t>
            </w:r>
          </w:p>
        </w:tc>
        <w:tc>
          <w:tcPr>
            <w:tcW w:w="120" w:type="dxa"/>
            <w:vAlign w:val="bottom"/>
          </w:tcPr>
          <w:p>
            <w:pPr>
              <w:spacing w:after="0"/>
              <w:rPr>
                <w:sz w:val="12"/>
                <w:szCs w:val="12"/>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1"/>
                <w:szCs w:val="11"/>
                <w:b w:val="1"/>
                <w:bCs w:val="1"/>
                <w:color w:val="auto"/>
                <w:w w:val="99"/>
              </w:rPr>
              <w:t>amortization</w:t>
            </w:r>
          </w:p>
        </w:tc>
        <w:tc>
          <w:tcPr>
            <w:tcW w:w="80" w:type="dxa"/>
            <w:vAlign w:val="bottom"/>
          </w:tcPr>
          <w:p>
            <w:pPr>
              <w:spacing w:after="0"/>
              <w:rPr>
                <w:sz w:val="12"/>
                <w:szCs w:val="12"/>
                <w:color w:val="auto"/>
              </w:rPr>
            </w:pPr>
          </w:p>
        </w:tc>
        <w:tc>
          <w:tcPr>
            <w:tcW w:w="1020" w:type="dxa"/>
            <w:vAlign w:val="bottom"/>
          </w:tcPr>
          <w:p>
            <w:pPr>
              <w:jc w:val="center"/>
              <w:ind w:right="6"/>
              <w:spacing w:after="0"/>
              <w:rPr>
                <w:sz w:val="20"/>
                <w:szCs w:val="20"/>
                <w:color w:val="auto"/>
              </w:rPr>
            </w:pPr>
            <w:r>
              <w:rPr>
                <w:rFonts w:ascii="Times New Roman" w:cs="Times New Roman" w:eastAsia="Times New Roman" w:hAnsi="Times New Roman"/>
                <w:sz w:val="11"/>
                <w:szCs w:val="11"/>
                <w:b w:val="1"/>
                <w:bCs w:val="1"/>
                <w:color w:val="auto"/>
                <w:w w:val="96"/>
              </w:rPr>
              <w:t>(EBITDA)</w:t>
            </w:r>
          </w:p>
        </w:tc>
        <w:tc>
          <w:tcPr>
            <w:tcW w:w="0" w:type="dxa"/>
            <w:vAlign w:val="bottom"/>
          </w:tcPr>
          <w:p>
            <w:pPr>
              <w:spacing w:after="0"/>
              <w:rPr>
                <w:sz w:val="1"/>
                <w:szCs w:val="1"/>
                <w:color w:val="auto"/>
              </w:rPr>
            </w:pPr>
          </w:p>
        </w:tc>
      </w:tr>
      <w:tr>
        <w:trPr>
          <w:trHeight w:val="22"/>
        </w:trPr>
        <w:tc>
          <w:tcPr>
            <w:tcW w:w="28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7"/>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TechnipFMC plc, as reported</w:t>
            </w:r>
          </w:p>
        </w:tc>
        <w:tc>
          <w:tcPr>
            <w:tcW w:w="120" w:type="dxa"/>
            <w:vAlign w:val="bottom"/>
            <w:gridSpan w:val="2"/>
          </w:tcPr>
          <w:p>
            <w:pPr>
              <w:jc w:val="right"/>
              <w:ind w:right="4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(3,248.3)</w:t>
            </w:r>
          </w:p>
        </w:tc>
        <w:tc>
          <w:tcPr>
            <w:tcW w:w="100" w:type="dxa"/>
            <w:vAlign w:val="bottom"/>
          </w:tcPr>
          <w:p>
            <w:pPr>
              <w:spacing w:after="0"/>
              <w:rPr>
                <w:sz w:val="12"/>
                <w:szCs w:val="12"/>
                <w:color w:val="auto"/>
              </w:rPr>
            </w:pPr>
          </w:p>
        </w:tc>
        <w:tc>
          <w:tcPr>
            <w:tcW w:w="80" w:type="dxa"/>
            <w:vAlign w:val="bottom"/>
            <w:gridSpan w:val="2"/>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24.3</w:t>
            </w:r>
          </w:p>
        </w:tc>
        <w:tc>
          <w:tcPr>
            <w:tcW w:w="100" w:type="dxa"/>
            <w:vAlign w:val="bottom"/>
          </w:tcPr>
          <w:p>
            <w:pPr>
              <w:spacing w:after="0"/>
              <w:rPr>
                <w:sz w:val="12"/>
                <w:szCs w:val="12"/>
                <w:color w:val="auto"/>
              </w:rPr>
            </w:pPr>
          </w:p>
        </w:tc>
        <w:tc>
          <w:tcPr>
            <w:tcW w:w="160" w:type="dxa"/>
            <w:vAlign w:val="bottom"/>
            <w:gridSpan w:val="2"/>
          </w:tcPr>
          <w:p>
            <w:pPr>
              <w:jc w:val="right"/>
              <w:ind w:right="26"/>
              <w:spacing w:after="0"/>
              <w:rPr>
                <w:sz w:val="20"/>
                <w:szCs w:val="20"/>
                <w:color w:val="auto"/>
              </w:rPr>
            </w:pPr>
            <w:r>
              <w:rPr>
                <w:rFonts w:ascii="Times New Roman" w:cs="Times New Roman" w:eastAsia="Times New Roman" w:hAnsi="Times New Roman"/>
                <w:sz w:val="11"/>
                <w:szCs w:val="11"/>
                <w:color w:val="auto"/>
              </w:rPr>
              <w:t>$</w:t>
            </w: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77.9</w:t>
            </w:r>
          </w:p>
        </w:tc>
        <w:tc>
          <w:tcPr>
            <w:tcW w:w="100" w:type="dxa"/>
            <w:vAlign w:val="bottom"/>
          </w:tcPr>
          <w:p>
            <w:pPr>
              <w:spacing w:after="0"/>
              <w:rPr>
                <w:sz w:val="12"/>
                <w:szCs w:val="12"/>
                <w:color w:val="auto"/>
              </w:rPr>
            </w:pPr>
          </w:p>
        </w:tc>
        <w:tc>
          <w:tcPr>
            <w:tcW w:w="80" w:type="dxa"/>
            <w:vAlign w:val="bottom"/>
            <w:gridSpan w:val="2"/>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238.5</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(2,907.6)</w:t>
            </w:r>
          </w:p>
        </w:tc>
        <w:tc>
          <w:tcPr>
            <w:tcW w:w="100" w:type="dxa"/>
            <w:vAlign w:val="bottom"/>
          </w:tcPr>
          <w:p>
            <w:pPr>
              <w:spacing w:after="0"/>
              <w:rPr>
                <w:sz w:val="12"/>
                <w:szCs w:val="12"/>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335.5</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(2,572.1)</w:t>
            </w:r>
          </w:p>
        </w:tc>
        <w:tc>
          <w:tcPr>
            <w:tcW w:w="0" w:type="dxa"/>
            <w:vAlign w:val="bottom"/>
          </w:tcPr>
          <w:p>
            <w:pPr>
              <w:spacing w:after="0"/>
              <w:rPr>
                <w:sz w:val="1"/>
                <w:szCs w:val="1"/>
                <w:color w:val="auto"/>
              </w:rPr>
            </w:pPr>
          </w:p>
        </w:tc>
      </w:tr>
      <w:tr>
        <w:trPr>
          <w:trHeight w:val="338"/>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Charges and (credits):</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Impairment and other charges</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3,239.4</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13.6</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3,253.0</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3,253.0</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Restructuring and other charges</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77.8</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8.1</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85.9</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85.9</w:t>
            </w:r>
          </w:p>
        </w:tc>
        <w:tc>
          <w:tcPr>
            <w:tcW w:w="0" w:type="dxa"/>
            <w:vAlign w:val="bottom"/>
          </w:tcPr>
          <w:p>
            <w:pPr>
              <w:spacing w:after="0"/>
              <w:rPr>
                <w:sz w:val="1"/>
                <w:szCs w:val="1"/>
                <w:color w:val="auto"/>
              </w:rPr>
            </w:pPr>
          </w:p>
        </w:tc>
      </w:tr>
      <w:tr>
        <w:trPr>
          <w:trHeight w:val="176"/>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Direct COVID-19 expenses</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83.1</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18.7</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101.8</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101.8</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Litigation settlement</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(113.2)</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(113.2)</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(113.2)</w:t>
            </w:r>
          </w:p>
        </w:tc>
        <w:tc>
          <w:tcPr>
            <w:tcW w:w="0" w:type="dxa"/>
            <w:vAlign w:val="bottom"/>
          </w:tcPr>
          <w:p>
            <w:pPr>
              <w:spacing w:after="0"/>
              <w:rPr>
                <w:sz w:val="1"/>
                <w:szCs w:val="1"/>
                <w:color w:val="auto"/>
              </w:rPr>
            </w:pPr>
          </w:p>
        </w:tc>
      </w:tr>
      <w:tr>
        <w:trPr>
          <w:trHeight w:val="176"/>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Separation costs</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20.2</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6.9</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27.1</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27.1</w:t>
            </w:r>
          </w:p>
        </w:tc>
        <w:tc>
          <w:tcPr>
            <w:tcW w:w="0" w:type="dxa"/>
            <w:vAlign w:val="bottom"/>
          </w:tcPr>
          <w:p>
            <w:pPr>
              <w:spacing w:after="0"/>
              <w:rPr>
                <w:sz w:val="1"/>
                <w:szCs w:val="1"/>
                <w:color w:val="auto"/>
              </w:rPr>
            </w:pPr>
          </w:p>
        </w:tc>
      </w:tr>
      <w:tr>
        <w:trPr>
          <w:trHeight w:val="176"/>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Purchase price accounting adjustment</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6.5</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2.0</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8.5</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(8.5)</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Valuation allowance</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(0.2)</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0.2</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w:t>
            </w:r>
          </w:p>
        </w:tc>
        <w:tc>
          <w:tcPr>
            <w:tcW w:w="0" w:type="dxa"/>
            <w:vAlign w:val="bottom"/>
          </w:tcPr>
          <w:p>
            <w:pPr>
              <w:spacing w:after="0"/>
              <w:rPr>
                <w:sz w:val="1"/>
                <w:szCs w:val="1"/>
                <w:color w:val="auto"/>
              </w:rPr>
            </w:pPr>
          </w:p>
        </w:tc>
      </w:tr>
      <w:tr>
        <w:trPr>
          <w:trHeight w:val="22"/>
        </w:trPr>
        <w:tc>
          <w:tcPr>
            <w:tcW w:w="28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9"/>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Adjusted financial measures</w:t>
            </w:r>
          </w:p>
        </w:tc>
        <w:tc>
          <w:tcPr>
            <w:tcW w:w="120" w:type="dxa"/>
            <w:vAlign w:val="bottom"/>
            <w:tcBorders>
              <w:bottom w:val="single" w:sz="8" w:color="auto"/>
            </w:tcBorders>
            <w:gridSpan w:val="2"/>
          </w:tcPr>
          <w:p>
            <w:pPr>
              <w:jc w:val="right"/>
              <w:ind w:right="4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65.3</w:t>
            </w:r>
          </w:p>
        </w:tc>
        <w:tc>
          <w:tcPr>
            <w:tcW w:w="100" w:type="dxa"/>
            <w:vAlign w:val="bottom"/>
          </w:tcPr>
          <w:p>
            <w:pPr>
              <w:spacing w:after="0"/>
              <w:rPr>
                <w:sz w:val="14"/>
                <w:szCs w:val="14"/>
                <w:color w:val="auto"/>
              </w:rPr>
            </w:pPr>
          </w:p>
        </w:tc>
        <w:tc>
          <w:tcPr>
            <w:tcW w:w="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24.3</w:t>
            </w:r>
          </w:p>
        </w:tc>
        <w:tc>
          <w:tcPr>
            <w:tcW w:w="100" w:type="dxa"/>
            <w:vAlign w:val="bottom"/>
          </w:tcPr>
          <w:p>
            <w:pPr>
              <w:spacing w:after="0"/>
              <w:rPr>
                <w:sz w:val="14"/>
                <w:szCs w:val="14"/>
                <w:color w:val="auto"/>
              </w:rPr>
            </w:pPr>
          </w:p>
        </w:tc>
        <w:tc>
          <w:tcPr>
            <w:tcW w:w="160" w:type="dxa"/>
            <w:vAlign w:val="bottom"/>
            <w:tcBorders>
              <w:bottom w:val="single" w:sz="8" w:color="auto"/>
            </w:tcBorders>
            <w:gridSpan w:val="2"/>
          </w:tcPr>
          <w:p>
            <w:pPr>
              <w:jc w:val="right"/>
              <w:ind w:right="26"/>
              <w:spacing w:after="0"/>
              <w:rPr>
                <w:sz w:val="20"/>
                <w:szCs w:val="20"/>
                <w:color w:val="auto"/>
              </w:rPr>
            </w:pPr>
            <w:r>
              <w:rPr>
                <w:rFonts w:ascii="Times New Roman" w:cs="Times New Roman" w:eastAsia="Times New Roman" w:hAnsi="Times New Roman"/>
                <w:sz w:val="11"/>
                <w:szCs w:val="11"/>
                <w:color w:val="auto"/>
              </w:rPr>
              <w:t>$</w:t>
            </w:r>
          </w:p>
        </w:tc>
        <w:tc>
          <w:tcPr>
            <w:tcW w:w="94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127.4</w:t>
            </w:r>
          </w:p>
        </w:tc>
        <w:tc>
          <w:tcPr>
            <w:tcW w:w="100" w:type="dxa"/>
            <w:vAlign w:val="bottom"/>
          </w:tcPr>
          <w:p>
            <w:pPr>
              <w:spacing w:after="0"/>
              <w:rPr>
                <w:sz w:val="14"/>
                <w:szCs w:val="14"/>
                <w:color w:val="auto"/>
              </w:rPr>
            </w:pPr>
          </w:p>
        </w:tc>
        <w:tc>
          <w:tcPr>
            <w:tcW w:w="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238.5</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455.5</w:t>
            </w:r>
          </w:p>
        </w:tc>
        <w:tc>
          <w:tcPr>
            <w:tcW w:w="100" w:type="dxa"/>
            <w:vAlign w:val="bottom"/>
          </w:tcPr>
          <w:p>
            <w:pPr>
              <w:spacing w:after="0"/>
              <w:rPr>
                <w:sz w:val="14"/>
                <w:szCs w:val="14"/>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Borders>
              <w:bottom w:val="single" w:sz="8" w:color="auto"/>
            </w:tcBorders>
          </w:tcPr>
          <w:p>
            <w:pPr>
              <w:jc w:val="right"/>
              <w:ind w:right="26"/>
              <w:spacing w:after="0"/>
              <w:rPr>
                <w:sz w:val="20"/>
                <w:szCs w:val="20"/>
                <w:color w:val="auto"/>
              </w:rPr>
            </w:pPr>
            <w:r>
              <w:rPr>
                <w:rFonts w:ascii="Times New Roman" w:cs="Times New Roman" w:eastAsia="Times New Roman" w:hAnsi="Times New Roman"/>
                <w:sz w:val="11"/>
                <w:szCs w:val="11"/>
                <w:color w:val="auto"/>
              </w:rPr>
              <w:t>327.0</w:t>
            </w: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Borders>
              <w:bottom w:val="single" w:sz="8" w:color="auto"/>
            </w:tcBorders>
          </w:tcPr>
          <w:p>
            <w:pPr>
              <w:jc w:val="right"/>
              <w:ind w:right="6"/>
              <w:spacing w:after="0"/>
              <w:rPr>
                <w:sz w:val="20"/>
                <w:szCs w:val="20"/>
                <w:color w:val="auto"/>
              </w:rPr>
            </w:pPr>
            <w:r>
              <w:rPr>
                <w:rFonts w:ascii="Times New Roman" w:cs="Times New Roman" w:eastAsia="Times New Roman" w:hAnsi="Times New Roman"/>
                <w:sz w:val="11"/>
                <w:szCs w:val="11"/>
                <w:color w:val="auto"/>
              </w:rPr>
              <w:t>782.5</w:t>
            </w:r>
          </w:p>
        </w:tc>
        <w:tc>
          <w:tcPr>
            <w:tcW w:w="0" w:type="dxa"/>
            <w:vAlign w:val="bottom"/>
          </w:tcPr>
          <w:p>
            <w:pPr>
              <w:spacing w:after="0"/>
              <w:rPr>
                <w:sz w:val="1"/>
                <w:szCs w:val="1"/>
                <w:color w:val="auto"/>
              </w:rPr>
            </w:pPr>
          </w:p>
        </w:tc>
      </w:tr>
      <w:tr>
        <w:trPr>
          <w:trHeight w:val="21"/>
        </w:trPr>
        <w:tc>
          <w:tcPr>
            <w:tcW w:w="2840" w:type="dxa"/>
            <w:vAlign w:val="bottom"/>
            <w:vMerge w:val="restart"/>
          </w:tcPr>
          <w:p>
            <w:pPr>
              <w:spacing w:after="0"/>
              <w:rPr>
                <w:sz w:val="20"/>
                <w:szCs w:val="20"/>
                <w:color w:val="auto"/>
              </w:rPr>
            </w:pPr>
            <w:r>
              <w:rPr>
                <w:rFonts w:ascii="Times New Roman" w:cs="Times New Roman" w:eastAsia="Times New Roman" w:hAnsi="Times New Roman"/>
                <w:sz w:val="11"/>
                <w:szCs w:val="11"/>
                <w:color w:val="auto"/>
                <w:w w:val="97"/>
              </w:rPr>
              <w:t>Diluted earnings (loss) per share attributable to TechnipFMC plc,</w:t>
            </w: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17"/>
        </w:trPr>
        <w:tc>
          <w:tcPr>
            <w:tcW w:w="284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0"/>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as reported</w:t>
            </w:r>
          </w:p>
        </w:tc>
        <w:tc>
          <w:tcPr>
            <w:tcW w:w="120" w:type="dxa"/>
            <w:vAlign w:val="bottom"/>
            <w:gridSpan w:val="2"/>
          </w:tcPr>
          <w:p>
            <w:pPr>
              <w:jc w:val="right"/>
              <w:ind w:right="4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(7.24)</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w w:val="99"/>
              </w:rPr>
              <w:t>Adjusted diluted earnings per share attributable to TechnipFMC</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0"/>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plc</w:t>
            </w:r>
          </w:p>
        </w:tc>
        <w:tc>
          <w:tcPr>
            <w:tcW w:w="120" w:type="dxa"/>
            <w:vAlign w:val="bottom"/>
            <w:gridSpan w:val="2"/>
          </w:tcPr>
          <w:p>
            <w:pPr>
              <w:jc w:val="right"/>
              <w:ind w:right="4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0.15</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28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gridSpan w:val="2"/>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7"/>
        </w:trPr>
        <w:tc>
          <w:tcPr>
            <w:tcW w:w="28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gridSpan w:val="2"/>
          </w:tcPr>
          <w:p>
            <w:pPr>
              <w:jc w:val="center"/>
              <w:ind w:right="160"/>
              <w:spacing w:after="0"/>
              <w:rPr>
                <w:sz w:val="20"/>
                <w:szCs w:val="20"/>
                <w:color w:val="auto"/>
              </w:rPr>
            </w:pPr>
            <w:r>
              <w:rPr>
                <w:rFonts w:ascii="Times New Roman" w:cs="Times New Roman" w:eastAsia="Times New Roman" w:hAnsi="Times New Roman"/>
                <w:sz w:val="11"/>
                <w:szCs w:val="11"/>
                <w:b w:val="1"/>
                <w:bCs w:val="1"/>
                <w:color w:val="auto"/>
                <w:w w:val="97"/>
              </w:rPr>
              <w:t>Nine Months Ended</w:t>
            </w: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2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center"/>
              <w:ind w:right="140"/>
              <w:spacing w:after="0"/>
              <w:rPr>
                <w:sz w:val="20"/>
                <w:szCs w:val="20"/>
                <w:color w:val="auto"/>
              </w:rPr>
            </w:pPr>
            <w:r>
              <w:rPr>
                <w:rFonts w:ascii="Times New Roman" w:cs="Times New Roman" w:eastAsia="Times New Roman" w:hAnsi="Times New Roman"/>
                <w:sz w:val="11"/>
                <w:szCs w:val="11"/>
                <w:b w:val="1"/>
                <w:bCs w:val="1"/>
                <w:color w:val="auto"/>
                <w:w w:val="97"/>
              </w:rPr>
              <w:t>September 30, 2019</w:t>
            </w:r>
          </w:p>
        </w:tc>
        <w:tc>
          <w:tcPr>
            <w:tcW w:w="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
        </w:trPr>
        <w:tc>
          <w:tcPr>
            <w:tcW w:w="28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6"/>
        </w:trPr>
        <w:tc>
          <w:tcPr>
            <w:tcW w:w="2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26"/>
              <w:spacing w:after="0"/>
              <w:rPr>
                <w:sz w:val="20"/>
                <w:szCs w:val="20"/>
                <w:color w:val="auto"/>
              </w:rPr>
            </w:pPr>
            <w:r>
              <w:rPr>
                <w:rFonts w:ascii="Times New Roman" w:cs="Times New Roman" w:eastAsia="Times New Roman" w:hAnsi="Times New Roman"/>
                <w:sz w:val="11"/>
                <w:szCs w:val="11"/>
                <w:b w:val="1"/>
                <w:bCs w:val="1"/>
                <w:color w:val="auto"/>
                <w:w w:val="96"/>
              </w:rPr>
              <w:t>Earnings before net</w:t>
            </w:r>
          </w:p>
        </w:tc>
        <w:tc>
          <w:tcPr>
            <w:tcW w:w="0" w:type="dxa"/>
            <w:vAlign w:val="bottom"/>
          </w:tcPr>
          <w:p>
            <w:pPr>
              <w:spacing w:after="0"/>
              <w:rPr>
                <w:sz w:val="1"/>
                <w:szCs w:val="1"/>
                <w:color w:val="auto"/>
              </w:rPr>
            </w:pPr>
          </w:p>
        </w:tc>
      </w:tr>
      <w:tr>
        <w:trPr>
          <w:trHeight w:val="122"/>
        </w:trPr>
        <w:tc>
          <w:tcPr>
            <w:tcW w:w="2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6"/>
              <w:spacing w:after="0" w:line="122" w:lineRule="exact"/>
              <w:rPr>
                <w:sz w:val="20"/>
                <w:szCs w:val="20"/>
                <w:color w:val="auto"/>
              </w:rPr>
            </w:pPr>
            <w:r>
              <w:rPr>
                <w:rFonts w:ascii="Times New Roman" w:cs="Times New Roman" w:eastAsia="Times New Roman" w:hAnsi="Times New Roman"/>
                <w:sz w:val="11"/>
                <w:szCs w:val="11"/>
                <w:b w:val="1"/>
                <w:bCs w:val="1"/>
                <w:color w:val="auto"/>
                <w:w w:val="97"/>
              </w:rPr>
              <w:t>interest expense,</w:t>
            </w:r>
          </w:p>
        </w:tc>
        <w:tc>
          <w:tcPr>
            <w:tcW w:w="0" w:type="dxa"/>
            <w:vAlign w:val="bottom"/>
          </w:tcPr>
          <w:p>
            <w:pPr>
              <w:spacing w:after="0"/>
              <w:rPr>
                <w:sz w:val="1"/>
                <w:szCs w:val="1"/>
                <w:color w:val="auto"/>
              </w:rPr>
            </w:pPr>
          </w:p>
        </w:tc>
      </w:tr>
      <w:tr>
        <w:trPr>
          <w:trHeight w:val="122"/>
        </w:trPr>
        <w:tc>
          <w:tcPr>
            <w:tcW w:w="2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9"/>
              </w:rPr>
              <w:t>Income (loss) before</w:t>
            </w: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26"/>
              <w:spacing w:after="0" w:line="122" w:lineRule="exact"/>
              <w:rPr>
                <w:sz w:val="20"/>
                <w:szCs w:val="20"/>
                <w:color w:val="auto"/>
              </w:rPr>
            </w:pPr>
            <w:r>
              <w:rPr>
                <w:rFonts w:ascii="Times New Roman" w:cs="Times New Roman" w:eastAsia="Times New Roman" w:hAnsi="Times New Roman"/>
                <w:sz w:val="11"/>
                <w:szCs w:val="11"/>
                <w:b w:val="1"/>
                <w:bCs w:val="1"/>
                <w:color w:val="auto"/>
                <w:w w:val="98"/>
              </w:rPr>
              <w:t>income taxes,</w:t>
            </w:r>
          </w:p>
        </w:tc>
        <w:tc>
          <w:tcPr>
            <w:tcW w:w="0" w:type="dxa"/>
            <w:vAlign w:val="bottom"/>
          </w:tcPr>
          <w:p>
            <w:pPr>
              <w:spacing w:after="0"/>
              <w:rPr>
                <w:sz w:val="1"/>
                <w:szCs w:val="1"/>
                <w:color w:val="auto"/>
              </w:rPr>
            </w:pPr>
          </w:p>
        </w:tc>
      </w:tr>
      <w:tr>
        <w:trPr>
          <w:trHeight w:val="121"/>
        </w:trPr>
        <w:tc>
          <w:tcPr>
            <w:tcW w:w="2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00" w:type="dxa"/>
            <w:vAlign w:val="bottom"/>
            <w:gridSpan w:val="2"/>
          </w:tcPr>
          <w:p>
            <w:pPr>
              <w:jc w:val="center"/>
              <w:ind w:right="200"/>
              <w:spacing w:after="0" w:line="122" w:lineRule="exact"/>
              <w:rPr>
                <w:sz w:val="20"/>
                <w:szCs w:val="20"/>
                <w:color w:val="auto"/>
              </w:rPr>
            </w:pPr>
            <w:r>
              <w:rPr>
                <w:rFonts w:ascii="Times New Roman" w:cs="Times New Roman" w:eastAsia="Times New Roman" w:hAnsi="Times New Roman"/>
                <w:sz w:val="11"/>
                <w:szCs w:val="11"/>
                <w:b w:val="1"/>
                <w:bCs w:val="1"/>
                <w:color w:val="auto"/>
                <w:w w:val="97"/>
              </w:rPr>
              <w:t>Net income (loss)</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20" w:type="dxa"/>
            <w:vAlign w:val="bottom"/>
            <w:gridSpan w:val="2"/>
          </w:tcPr>
          <w:p>
            <w:pPr>
              <w:jc w:val="center"/>
              <w:ind w:right="160"/>
              <w:spacing w:after="0" w:line="122" w:lineRule="exact"/>
              <w:rPr>
                <w:sz w:val="20"/>
                <w:szCs w:val="20"/>
                <w:color w:val="auto"/>
              </w:rPr>
            </w:pPr>
            <w:r>
              <w:rPr>
                <w:rFonts w:ascii="Times New Roman" w:cs="Times New Roman" w:eastAsia="Times New Roman" w:hAnsi="Times New Roman"/>
                <w:sz w:val="11"/>
                <w:szCs w:val="11"/>
                <w:b w:val="1"/>
                <w:bCs w:val="1"/>
                <w:color w:val="auto"/>
                <w:w w:val="99"/>
              </w:rPr>
              <w:t>Net income (loss)</w:t>
            </w: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7"/>
              </w:rPr>
              <w:t>net interest expense</w:t>
            </w: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20" w:type="dxa"/>
            <w:vAlign w:val="bottom"/>
          </w:tcPr>
          <w:p>
            <w:pPr>
              <w:jc w:val="center"/>
              <w:ind w:right="26"/>
              <w:spacing w:after="0" w:line="122" w:lineRule="exact"/>
              <w:rPr>
                <w:sz w:val="20"/>
                <w:szCs w:val="20"/>
                <w:color w:val="auto"/>
              </w:rPr>
            </w:pPr>
            <w:r>
              <w:rPr>
                <w:rFonts w:ascii="Times New Roman" w:cs="Times New Roman" w:eastAsia="Times New Roman" w:hAnsi="Times New Roman"/>
                <w:sz w:val="11"/>
                <w:szCs w:val="11"/>
                <w:b w:val="1"/>
                <w:bCs w:val="1"/>
                <w:color w:val="auto"/>
                <w:w w:val="98"/>
              </w:rPr>
              <w:t>depreciation and</w:t>
            </w:r>
          </w:p>
        </w:tc>
        <w:tc>
          <w:tcPr>
            <w:tcW w:w="0" w:type="dxa"/>
            <w:vAlign w:val="bottom"/>
          </w:tcPr>
          <w:p>
            <w:pPr>
              <w:spacing w:after="0"/>
              <w:rPr>
                <w:sz w:val="1"/>
                <w:szCs w:val="1"/>
                <w:color w:val="auto"/>
              </w:rPr>
            </w:pPr>
          </w:p>
        </w:tc>
      </w:tr>
      <w:tr>
        <w:trPr>
          <w:trHeight w:val="122"/>
        </w:trPr>
        <w:tc>
          <w:tcPr>
            <w:tcW w:w="2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00" w:type="dxa"/>
            <w:vAlign w:val="bottom"/>
            <w:gridSpan w:val="2"/>
          </w:tcPr>
          <w:p>
            <w:pPr>
              <w:jc w:val="center"/>
              <w:ind w:right="200"/>
              <w:spacing w:after="0" w:line="122" w:lineRule="exact"/>
              <w:rPr>
                <w:sz w:val="20"/>
                <w:szCs w:val="20"/>
                <w:color w:val="auto"/>
              </w:rPr>
            </w:pPr>
            <w:r>
              <w:rPr>
                <w:rFonts w:ascii="Times New Roman" w:cs="Times New Roman" w:eastAsia="Times New Roman" w:hAnsi="Times New Roman"/>
                <w:sz w:val="11"/>
                <w:szCs w:val="11"/>
                <w:b w:val="1"/>
                <w:bCs w:val="1"/>
                <w:color w:val="auto"/>
                <w:w w:val="96"/>
              </w:rPr>
              <w:t>attributable to</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20" w:type="dxa"/>
            <w:vAlign w:val="bottom"/>
            <w:gridSpan w:val="2"/>
          </w:tcPr>
          <w:p>
            <w:pPr>
              <w:jc w:val="center"/>
              <w:ind w:right="160"/>
              <w:spacing w:after="0" w:line="122" w:lineRule="exact"/>
              <w:rPr>
                <w:sz w:val="20"/>
                <w:szCs w:val="20"/>
                <w:color w:val="auto"/>
              </w:rPr>
            </w:pPr>
            <w:r>
              <w:rPr>
                <w:rFonts w:ascii="Times New Roman" w:cs="Times New Roman" w:eastAsia="Times New Roman" w:hAnsi="Times New Roman"/>
                <w:sz w:val="11"/>
                <w:szCs w:val="11"/>
                <w:b w:val="1"/>
                <w:bCs w:val="1"/>
                <w:color w:val="auto"/>
                <w:w w:val="99"/>
              </w:rPr>
              <w:t>attributable to non-</w:t>
            </w:r>
          </w:p>
        </w:tc>
        <w:tc>
          <w:tcPr>
            <w:tcW w:w="20" w:type="dxa"/>
            <w:vAlign w:val="bottom"/>
          </w:tcPr>
          <w:p>
            <w:pPr>
              <w:spacing w:after="0"/>
              <w:rPr>
                <w:sz w:val="10"/>
                <w:szCs w:val="10"/>
                <w:color w:val="auto"/>
              </w:rPr>
            </w:pPr>
          </w:p>
        </w:tc>
        <w:tc>
          <w:tcPr>
            <w:tcW w:w="1180" w:type="dxa"/>
            <w:vAlign w:val="bottom"/>
            <w:gridSpan w:val="3"/>
          </w:tcPr>
          <w:p>
            <w:pPr>
              <w:jc w:val="center"/>
              <w:ind w:right="100"/>
              <w:spacing w:after="0" w:line="122" w:lineRule="exact"/>
              <w:rPr>
                <w:sz w:val="20"/>
                <w:szCs w:val="20"/>
                <w:color w:val="auto"/>
              </w:rPr>
            </w:pPr>
            <w:r>
              <w:rPr>
                <w:rFonts w:ascii="Times New Roman" w:cs="Times New Roman" w:eastAsia="Times New Roman" w:hAnsi="Times New Roman"/>
                <w:sz w:val="11"/>
                <w:szCs w:val="11"/>
                <w:b w:val="1"/>
                <w:bCs w:val="1"/>
                <w:color w:val="auto"/>
                <w:w w:val="96"/>
              </w:rPr>
              <w:t>Provision (benefit) for</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20" w:type="dxa"/>
            <w:vAlign w:val="bottom"/>
            <w:gridSpan w:val="2"/>
          </w:tcPr>
          <w:p>
            <w:pPr>
              <w:jc w:val="center"/>
              <w:ind w:right="180"/>
              <w:spacing w:after="0" w:line="122" w:lineRule="exact"/>
              <w:rPr>
                <w:sz w:val="20"/>
                <w:szCs w:val="20"/>
                <w:color w:val="auto"/>
              </w:rPr>
            </w:pPr>
            <w:r>
              <w:rPr>
                <w:rFonts w:ascii="Times New Roman" w:cs="Times New Roman" w:eastAsia="Times New Roman" w:hAnsi="Times New Roman"/>
                <w:sz w:val="11"/>
                <w:szCs w:val="11"/>
                <w:b w:val="1"/>
                <w:bCs w:val="1"/>
                <w:color w:val="auto"/>
                <w:w w:val="96"/>
              </w:rPr>
              <w:t>and income taxes</w:t>
            </w:r>
          </w:p>
        </w:tc>
        <w:tc>
          <w:tcPr>
            <w:tcW w:w="120" w:type="dxa"/>
            <w:vAlign w:val="bottom"/>
          </w:tcPr>
          <w:p>
            <w:pPr>
              <w:spacing w:after="0"/>
              <w:rPr>
                <w:sz w:val="10"/>
                <w:szCs w:val="10"/>
                <w:color w:val="auto"/>
              </w:rPr>
            </w:pPr>
          </w:p>
        </w:tc>
        <w:tc>
          <w:tcPr>
            <w:tcW w:w="1100" w:type="dxa"/>
            <w:vAlign w:val="bottom"/>
            <w:gridSpan w:val="2"/>
          </w:tcPr>
          <w:p>
            <w:pPr>
              <w:jc w:val="center"/>
              <w:ind w:right="220"/>
              <w:spacing w:after="0" w:line="122" w:lineRule="exact"/>
              <w:rPr>
                <w:sz w:val="20"/>
                <w:szCs w:val="20"/>
                <w:color w:val="auto"/>
              </w:rPr>
            </w:pPr>
            <w:r>
              <w:rPr>
                <w:rFonts w:ascii="Times New Roman" w:cs="Times New Roman" w:eastAsia="Times New Roman" w:hAnsi="Times New Roman"/>
                <w:sz w:val="11"/>
                <w:szCs w:val="11"/>
                <w:b w:val="1"/>
                <w:bCs w:val="1"/>
                <w:color w:val="auto"/>
                <w:w w:val="98"/>
              </w:rPr>
              <w:t>Depreciation and</w:t>
            </w:r>
          </w:p>
        </w:tc>
        <w:tc>
          <w:tcPr>
            <w:tcW w:w="80" w:type="dxa"/>
            <w:vAlign w:val="bottom"/>
          </w:tcPr>
          <w:p>
            <w:pPr>
              <w:spacing w:after="0"/>
              <w:rPr>
                <w:sz w:val="10"/>
                <w:szCs w:val="10"/>
                <w:color w:val="auto"/>
              </w:rPr>
            </w:pPr>
          </w:p>
        </w:tc>
        <w:tc>
          <w:tcPr>
            <w:tcW w:w="1020" w:type="dxa"/>
            <w:vAlign w:val="bottom"/>
          </w:tcPr>
          <w:p>
            <w:pPr>
              <w:jc w:val="center"/>
              <w:ind w:right="26"/>
              <w:spacing w:after="0" w:line="122" w:lineRule="exact"/>
              <w:rPr>
                <w:sz w:val="20"/>
                <w:szCs w:val="20"/>
                <w:color w:val="auto"/>
              </w:rPr>
            </w:pPr>
            <w:r>
              <w:rPr>
                <w:rFonts w:ascii="Times New Roman" w:cs="Times New Roman" w:eastAsia="Times New Roman" w:hAnsi="Times New Roman"/>
                <w:sz w:val="11"/>
                <w:szCs w:val="11"/>
                <w:b w:val="1"/>
                <w:bCs w:val="1"/>
                <w:color w:val="auto"/>
                <w:w w:val="95"/>
              </w:rPr>
              <w:t>amortization</w:t>
            </w:r>
          </w:p>
        </w:tc>
        <w:tc>
          <w:tcPr>
            <w:tcW w:w="0" w:type="dxa"/>
            <w:vAlign w:val="bottom"/>
          </w:tcPr>
          <w:p>
            <w:pPr>
              <w:spacing w:after="0"/>
              <w:rPr>
                <w:sz w:val="1"/>
                <w:szCs w:val="1"/>
                <w:color w:val="auto"/>
              </w:rPr>
            </w:pPr>
          </w:p>
        </w:tc>
      </w:tr>
      <w:tr>
        <w:trPr>
          <w:trHeight w:val="142"/>
        </w:trPr>
        <w:tc>
          <w:tcPr>
            <w:tcW w:w="28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2"/>
          </w:tcPr>
          <w:p>
            <w:pPr>
              <w:jc w:val="center"/>
              <w:ind w:right="200"/>
              <w:spacing w:after="0"/>
              <w:rPr>
                <w:sz w:val="20"/>
                <w:szCs w:val="20"/>
                <w:color w:val="auto"/>
              </w:rPr>
            </w:pPr>
            <w:r>
              <w:rPr>
                <w:rFonts w:ascii="Times New Roman" w:cs="Times New Roman" w:eastAsia="Times New Roman" w:hAnsi="Times New Roman"/>
                <w:sz w:val="11"/>
                <w:szCs w:val="11"/>
                <w:b w:val="1"/>
                <w:bCs w:val="1"/>
                <w:color w:val="auto"/>
                <w:w w:val="96"/>
              </w:rPr>
              <w:t>TechnipFMC plc</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gridSpan w:val="2"/>
          </w:tcPr>
          <w:p>
            <w:pPr>
              <w:jc w:val="center"/>
              <w:ind w:right="160"/>
              <w:spacing w:after="0"/>
              <w:rPr>
                <w:sz w:val="20"/>
                <w:szCs w:val="20"/>
                <w:color w:val="auto"/>
              </w:rPr>
            </w:pPr>
            <w:r>
              <w:rPr>
                <w:rFonts w:ascii="Times New Roman" w:cs="Times New Roman" w:eastAsia="Times New Roman" w:hAnsi="Times New Roman"/>
                <w:sz w:val="11"/>
                <w:szCs w:val="11"/>
                <w:b w:val="1"/>
                <w:bCs w:val="1"/>
                <w:color w:val="auto"/>
                <w:w w:val="98"/>
              </w:rPr>
              <w:t>controlling interests</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gridSpan w:val="2"/>
          </w:tcPr>
          <w:p>
            <w:pPr>
              <w:jc w:val="center"/>
              <w:ind w:right="240"/>
              <w:spacing w:after="0"/>
              <w:rPr>
                <w:sz w:val="20"/>
                <w:szCs w:val="20"/>
                <w:color w:val="auto"/>
              </w:rPr>
            </w:pPr>
            <w:r>
              <w:rPr>
                <w:rFonts w:ascii="Times New Roman" w:cs="Times New Roman" w:eastAsia="Times New Roman" w:hAnsi="Times New Roman"/>
                <w:sz w:val="11"/>
                <w:szCs w:val="11"/>
                <w:b w:val="1"/>
                <w:bCs w:val="1"/>
                <w:color w:val="auto"/>
                <w:w w:val="99"/>
              </w:rPr>
              <w:t>income taxes</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20" w:type="dxa"/>
            <w:vAlign w:val="bottom"/>
            <w:gridSpan w:val="2"/>
          </w:tcPr>
          <w:p>
            <w:pPr>
              <w:jc w:val="center"/>
              <w:ind w:right="160"/>
              <w:spacing w:after="0"/>
              <w:rPr>
                <w:sz w:val="20"/>
                <w:szCs w:val="20"/>
                <w:color w:val="auto"/>
              </w:rPr>
            </w:pPr>
            <w:r>
              <w:rPr>
                <w:rFonts w:ascii="Times New Roman" w:cs="Times New Roman" w:eastAsia="Times New Roman" w:hAnsi="Times New Roman"/>
                <w:sz w:val="11"/>
                <w:szCs w:val="11"/>
                <w:b w:val="1"/>
                <w:bCs w:val="1"/>
                <w:color w:val="auto"/>
                <w:w w:val="97"/>
              </w:rPr>
              <w:t>Net interest expense</w:t>
            </w:r>
          </w:p>
        </w:tc>
        <w:tc>
          <w:tcPr>
            <w:tcW w:w="80" w:type="dxa"/>
            <w:vAlign w:val="bottom"/>
          </w:tcPr>
          <w:p>
            <w:pPr>
              <w:spacing w:after="0"/>
              <w:rPr>
                <w:sz w:val="12"/>
                <w:szCs w:val="12"/>
                <w:color w:val="auto"/>
              </w:rPr>
            </w:pPr>
          </w:p>
        </w:tc>
        <w:tc>
          <w:tcPr>
            <w:tcW w:w="1120" w:type="dxa"/>
            <w:vAlign w:val="bottom"/>
            <w:gridSpan w:val="2"/>
          </w:tcPr>
          <w:p>
            <w:pPr>
              <w:jc w:val="center"/>
              <w:ind w:right="180"/>
              <w:spacing w:after="0"/>
              <w:rPr>
                <w:sz w:val="20"/>
                <w:szCs w:val="20"/>
                <w:color w:val="auto"/>
              </w:rPr>
            </w:pPr>
            <w:r>
              <w:rPr>
                <w:rFonts w:ascii="Times New Roman" w:cs="Times New Roman" w:eastAsia="Times New Roman" w:hAnsi="Times New Roman"/>
                <w:sz w:val="11"/>
                <w:szCs w:val="11"/>
                <w:b w:val="1"/>
                <w:bCs w:val="1"/>
                <w:color w:val="auto"/>
                <w:w w:val="96"/>
              </w:rPr>
              <w:t>(Operating profit)</w:t>
            </w:r>
          </w:p>
        </w:tc>
        <w:tc>
          <w:tcPr>
            <w:tcW w:w="120" w:type="dxa"/>
            <w:vAlign w:val="bottom"/>
          </w:tcPr>
          <w:p>
            <w:pPr>
              <w:spacing w:after="0"/>
              <w:rPr>
                <w:sz w:val="12"/>
                <w:szCs w:val="12"/>
                <w:color w:val="auto"/>
              </w:rPr>
            </w:pPr>
          </w:p>
        </w:tc>
        <w:tc>
          <w:tcPr>
            <w:tcW w:w="1100" w:type="dxa"/>
            <w:vAlign w:val="bottom"/>
            <w:gridSpan w:val="2"/>
          </w:tcPr>
          <w:p>
            <w:pPr>
              <w:jc w:val="center"/>
              <w:ind w:right="220"/>
              <w:spacing w:after="0"/>
              <w:rPr>
                <w:sz w:val="20"/>
                <w:szCs w:val="20"/>
                <w:color w:val="auto"/>
              </w:rPr>
            </w:pPr>
            <w:r>
              <w:rPr>
                <w:rFonts w:ascii="Times New Roman" w:cs="Times New Roman" w:eastAsia="Times New Roman" w:hAnsi="Times New Roman"/>
                <w:sz w:val="11"/>
                <w:szCs w:val="11"/>
                <w:b w:val="1"/>
                <w:bCs w:val="1"/>
                <w:color w:val="auto"/>
                <w:w w:val="99"/>
              </w:rPr>
              <w:t>amortization</w:t>
            </w:r>
          </w:p>
        </w:tc>
        <w:tc>
          <w:tcPr>
            <w:tcW w:w="80" w:type="dxa"/>
            <w:vAlign w:val="bottom"/>
          </w:tcPr>
          <w:p>
            <w:pPr>
              <w:spacing w:after="0"/>
              <w:rPr>
                <w:sz w:val="12"/>
                <w:szCs w:val="12"/>
                <w:color w:val="auto"/>
              </w:rPr>
            </w:pPr>
          </w:p>
        </w:tc>
        <w:tc>
          <w:tcPr>
            <w:tcW w:w="1020" w:type="dxa"/>
            <w:vAlign w:val="bottom"/>
          </w:tcPr>
          <w:p>
            <w:pPr>
              <w:jc w:val="center"/>
              <w:ind w:right="6"/>
              <w:spacing w:after="0"/>
              <w:rPr>
                <w:sz w:val="20"/>
                <w:szCs w:val="20"/>
                <w:color w:val="auto"/>
              </w:rPr>
            </w:pPr>
            <w:r>
              <w:rPr>
                <w:rFonts w:ascii="Times New Roman" w:cs="Times New Roman" w:eastAsia="Times New Roman" w:hAnsi="Times New Roman"/>
                <w:sz w:val="11"/>
                <w:szCs w:val="11"/>
                <w:b w:val="1"/>
                <w:bCs w:val="1"/>
                <w:color w:val="auto"/>
                <w:w w:val="96"/>
              </w:rPr>
              <w:t>(EBITDA)</w:t>
            </w:r>
          </w:p>
        </w:tc>
        <w:tc>
          <w:tcPr>
            <w:tcW w:w="0" w:type="dxa"/>
            <w:vAlign w:val="bottom"/>
          </w:tcPr>
          <w:p>
            <w:pPr>
              <w:spacing w:after="0"/>
              <w:rPr>
                <w:sz w:val="1"/>
                <w:szCs w:val="1"/>
                <w:color w:val="auto"/>
              </w:rPr>
            </w:pPr>
          </w:p>
        </w:tc>
      </w:tr>
      <w:tr>
        <w:trPr>
          <w:trHeight w:val="22"/>
        </w:trPr>
        <w:tc>
          <w:tcPr>
            <w:tcW w:w="28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7"/>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TechnipFMC plc, as reported</w:t>
            </w:r>
          </w:p>
        </w:tc>
        <w:tc>
          <w:tcPr>
            <w:tcW w:w="120" w:type="dxa"/>
            <w:vAlign w:val="bottom"/>
            <w:gridSpan w:val="2"/>
          </w:tcPr>
          <w:p>
            <w:pPr>
              <w:jc w:val="right"/>
              <w:ind w:right="4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(1.2)</w:t>
            </w:r>
          </w:p>
        </w:tc>
        <w:tc>
          <w:tcPr>
            <w:tcW w:w="100" w:type="dxa"/>
            <w:vAlign w:val="bottom"/>
          </w:tcPr>
          <w:p>
            <w:pPr>
              <w:spacing w:after="0"/>
              <w:rPr>
                <w:sz w:val="12"/>
                <w:szCs w:val="12"/>
                <w:color w:val="auto"/>
              </w:rPr>
            </w:pPr>
          </w:p>
        </w:tc>
        <w:tc>
          <w:tcPr>
            <w:tcW w:w="80" w:type="dxa"/>
            <w:vAlign w:val="bottom"/>
            <w:gridSpan w:val="2"/>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19.4</w:t>
            </w:r>
          </w:p>
        </w:tc>
        <w:tc>
          <w:tcPr>
            <w:tcW w:w="100" w:type="dxa"/>
            <w:vAlign w:val="bottom"/>
          </w:tcPr>
          <w:p>
            <w:pPr>
              <w:spacing w:after="0"/>
              <w:rPr>
                <w:sz w:val="12"/>
                <w:szCs w:val="12"/>
                <w:color w:val="auto"/>
              </w:rPr>
            </w:pPr>
          </w:p>
        </w:tc>
        <w:tc>
          <w:tcPr>
            <w:tcW w:w="160" w:type="dxa"/>
            <w:vAlign w:val="bottom"/>
            <w:gridSpan w:val="2"/>
          </w:tcPr>
          <w:p>
            <w:pPr>
              <w:jc w:val="right"/>
              <w:ind w:right="26"/>
              <w:spacing w:after="0"/>
              <w:rPr>
                <w:sz w:val="20"/>
                <w:szCs w:val="20"/>
                <w:color w:val="auto"/>
              </w:rPr>
            </w:pPr>
            <w:r>
              <w:rPr>
                <w:rFonts w:ascii="Times New Roman" w:cs="Times New Roman" w:eastAsia="Times New Roman" w:hAnsi="Times New Roman"/>
                <w:sz w:val="11"/>
                <w:szCs w:val="11"/>
                <w:color w:val="auto"/>
              </w:rPr>
              <w:t>$</w:t>
            </w:r>
          </w:p>
        </w:tc>
        <w:tc>
          <w:tcPr>
            <w:tcW w:w="94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96.5</w:t>
            </w:r>
          </w:p>
        </w:tc>
        <w:tc>
          <w:tcPr>
            <w:tcW w:w="100" w:type="dxa"/>
            <w:vAlign w:val="bottom"/>
          </w:tcPr>
          <w:p>
            <w:pPr>
              <w:spacing w:after="0"/>
              <w:rPr>
                <w:sz w:val="12"/>
                <w:szCs w:val="12"/>
                <w:color w:val="auto"/>
              </w:rPr>
            </w:pPr>
          </w:p>
        </w:tc>
        <w:tc>
          <w:tcPr>
            <w:tcW w:w="80" w:type="dxa"/>
            <w:vAlign w:val="bottom"/>
            <w:gridSpan w:val="2"/>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345.3</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460.0</w:t>
            </w:r>
          </w:p>
        </w:tc>
        <w:tc>
          <w:tcPr>
            <w:tcW w:w="100" w:type="dxa"/>
            <w:vAlign w:val="bottom"/>
          </w:tcPr>
          <w:p>
            <w:pPr>
              <w:spacing w:after="0"/>
              <w:rPr>
                <w:sz w:val="12"/>
                <w:szCs w:val="12"/>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378.5</w:t>
            </w:r>
          </w:p>
        </w:tc>
        <w:tc>
          <w:tcPr>
            <w:tcW w:w="10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838.5</w:t>
            </w:r>
          </w:p>
        </w:tc>
        <w:tc>
          <w:tcPr>
            <w:tcW w:w="0" w:type="dxa"/>
            <w:vAlign w:val="bottom"/>
          </w:tcPr>
          <w:p>
            <w:pPr>
              <w:spacing w:after="0"/>
              <w:rPr>
                <w:sz w:val="1"/>
                <w:szCs w:val="1"/>
                <w:color w:val="auto"/>
              </w:rPr>
            </w:pPr>
          </w:p>
        </w:tc>
      </w:tr>
      <w:tr>
        <w:trPr>
          <w:trHeight w:val="338"/>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Charges and (credits):</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Impairment and other charges</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127.0</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0.5</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127.5</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127.5</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Restructuring and other charges</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30.6</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7.9</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38.5</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38.5</w:t>
            </w:r>
          </w:p>
        </w:tc>
        <w:tc>
          <w:tcPr>
            <w:tcW w:w="0" w:type="dxa"/>
            <w:vAlign w:val="bottom"/>
          </w:tcPr>
          <w:p>
            <w:pPr>
              <w:spacing w:after="0"/>
              <w:rPr>
                <w:sz w:val="1"/>
                <w:szCs w:val="1"/>
                <w:color w:val="auto"/>
              </w:rPr>
            </w:pPr>
          </w:p>
        </w:tc>
      </w:tr>
      <w:tr>
        <w:trPr>
          <w:trHeight w:val="176"/>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Business combinations transaction and integration costs</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24.8</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6.4</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31.2</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31.2</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Separation costs</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7.5</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1.9</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9.4</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9.4</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Reorganization</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19.2</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6.1</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25.3</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25.3</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Legal provision, net</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54.6</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54.6</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54.6</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Purchase price accounting adjustment</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19.5</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6.0</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25.5</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(25.5)</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w:t>
            </w:r>
          </w:p>
        </w:tc>
        <w:tc>
          <w:tcPr>
            <w:tcW w:w="0" w:type="dxa"/>
            <w:vAlign w:val="bottom"/>
          </w:tcPr>
          <w:p>
            <w:pPr>
              <w:spacing w:after="0"/>
              <w:rPr>
                <w:sz w:val="1"/>
                <w:szCs w:val="1"/>
                <w:color w:val="auto"/>
              </w:rPr>
            </w:pPr>
          </w:p>
        </w:tc>
      </w:tr>
      <w:tr>
        <w:trPr>
          <w:trHeight w:val="175"/>
        </w:trPr>
        <w:tc>
          <w:tcPr>
            <w:tcW w:w="2840" w:type="dxa"/>
            <w:vAlign w:val="bottom"/>
          </w:tcPr>
          <w:p>
            <w:pPr>
              <w:ind w:left="180"/>
              <w:spacing w:after="0"/>
              <w:rPr>
                <w:sz w:val="20"/>
                <w:szCs w:val="20"/>
                <w:color w:val="auto"/>
              </w:rPr>
            </w:pPr>
            <w:r>
              <w:rPr>
                <w:rFonts w:ascii="Times New Roman" w:cs="Times New Roman" w:eastAsia="Times New Roman" w:hAnsi="Times New Roman"/>
                <w:sz w:val="11"/>
                <w:szCs w:val="11"/>
                <w:color w:val="auto"/>
              </w:rPr>
              <w:t>Valuation allowance</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(25.3)</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25.3</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120" w:type="dxa"/>
            <w:vAlign w:val="bottom"/>
          </w:tcPr>
          <w:p>
            <w:pPr>
              <w:spacing w:after="0"/>
              <w:rPr>
                <w:sz w:val="15"/>
                <w:szCs w:val="15"/>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1"/>
                <w:szCs w:val="11"/>
                <w:color w:val="auto"/>
              </w:rPr>
              <w:t>—</w:t>
            </w:r>
          </w:p>
        </w:tc>
        <w:tc>
          <w:tcPr>
            <w:tcW w:w="80" w:type="dxa"/>
            <w:vAlign w:val="bottom"/>
          </w:tcPr>
          <w:p>
            <w:pPr>
              <w:spacing w:after="0"/>
              <w:rPr>
                <w:sz w:val="15"/>
                <w:szCs w:val="15"/>
                <w:color w:val="auto"/>
              </w:rPr>
            </w:pP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w:t>
            </w:r>
          </w:p>
        </w:tc>
        <w:tc>
          <w:tcPr>
            <w:tcW w:w="0" w:type="dxa"/>
            <w:vAlign w:val="bottom"/>
          </w:tcPr>
          <w:p>
            <w:pPr>
              <w:spacing w:after="0"/>
              <w:rPr>
                <w:sz w:val="1"/>
                <w:szCs w:val="1"/>
                <w:color w:val="auto"/>
              </w:rPr>
            </w:pPr>
          </w:p>
        </w:tc>
      </w:tr>
      <w:tr>
        <w:trPr>
          <w:trHeight w:val="22"/>
        </w:trPr>
        <w:tc>
          <w:tcPr>
            <w:tcW w:w="28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9"/>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Adjusted financial measures</w:t>
            </w:r>
          </w:p>
        </w:tc>
        <w:tc>
          <w:tcPr>
            <w:tcW w:w="120" w:type="dxa"/>
            <w:vAlign w:val="bottom"/>
            <w:gridSpan w:val="2"/>
          </w:tcPr>
          <w:p>
            <w:pPr>
              <w:jc w:val="right"/>
              <w:ind w:right="4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256.7</w:t>
            </w:r>
          </w:p>
        </w:tc>
        <w:tc>
          <w:tcPr>
            <w:tcW w:w="100" w:type="dxa"/>
            <w:vAlign w:val="bottom"/>
          </w:tcPr>
          <w:p>
            <w:pPr>
              <w:spacing w:after="0"/>
              <w:rPr>
                <w:sz w:val="14"/>
                <w:szCs w:val="14"/>
                <w:color w:val="auto"/>
              </w:rPr>
            </w:pPr>
          </w:p>
        </w:tc>
        <w:tc>
          <w:tcPr>
            <w:tcW w:w="80" w:type="dxa"/>
            <w:vAlign w:val="bottom"/>
            <w:gridSpan w:val="2"/>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19.4</w:t>
            </w:r>
          </w:p>
        </w:tc>
        <w:tc>
          <w:tcPr>
            <w:tcW w:w="100" w:type="dxa"/>
            <w:vAlign w:val="bottom"/>
          </w:tcPr>
          <w:p>
            <w:pPr>
              <w:spacing w:after="0"/>
              <w:rPr>
                <w:sz w:val="14"/>
                <w:szCs w:val="14"/>
                <w:color w:val="auto"/>
              </w:rPr>
            </w:pPr>
          </w:p>
        </w:tc>
        <w:tc>
          <w:tcPr>
            <w:tcW w:w="160" w:type="dxa"/>
            <w:vAlign w:val="bottom"/>
            <w:gridSpan w:val="2"/>
          </w:tcPr>
          <w:p>
            <w:pPr>
              <w:jc w:val="right"/>
              <w:ind w:right="26"/>
              <w:spacing w:after="0"/>
              <w:rPr>
                <w:sz w:val="20"/>
                <w:szCs w:val="20"/>
                <w:color w:val="auto"/>
              </w:rPr>
            </w:pPr>
            <w:r>
              <w:rPr>
                <w:rFonts w:ascii="Times New Roman" w:cs="Times New Roman" w:eastAsia="Times New Roman" w:hAnsi="Times New Roman"/>
                <w:sz w:val="11"/>
                <w:szCs w:val="11"/>
                <w:color w:val="auto"/>
              </w:rPr>
              <w:t>$</w:t>
            </w:r>
          </w:p>
        </w:tc>
        <w:tc>
          <w:tcPr>
            <w:tcW w:w="94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150.6</w:t>
            </w:r>
          </w:p>
        </w:tc>
        <w:tc>
          <w:tcPr>
            <w:tcW w:w="100" w:type="dxa"/>
            <w:vAlign w:val="bottom"/>
          </w:tcPr>
          <w:p>
            <w:pPr>
              <w:spacing w:after="0"/>
              <w:rPr>
                <w:sz w:val="14"/>
                <w:szCs w:val="14"/>
                <w:color w:val="auto"/>
              </w:rPr>
            </w:pPr>
          </w:p>
        </w:tc>
        <w:tc>
          <w:tcPr>
            <w:tcW w:w="80" w:type="dxa"/>
            <w:vAlign w:val="bottom"/>
            <w:gridSpan w:val="2"/>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345.3</w:t>
            </w:r>
          </w:p>
        </w:tc>
        <w:tc>
          <w:tcPr>
            <w:tcW w:w="10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772.0</w:t>
            </w:r>
          </w:p>
        </w:tc>
        <w:tc>
          <w:tcPr>
            <w:tcW w:w="100" w:type="dxa"/>
            <w:vAlign w:val="bottom"/>
          </w:tcPr>
          <w:p>
            <w:pPr>
              <w:spacing w:after="0"/>
              <w:rPr>
                <w:sz w:val="14"/>
                <w:szCs w:val="14"/>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ind w:right="26"/>
              <w:spacing w:after="0"/>
              <w:rPr>
                <w:sz w:val="20"/>
                <w:szCs w:val="20"/>
                <w:color w:val="auto"/>
              </w:rPr>
            </w:pPr>
            <w:r>
              <w:rPr>
                <w:rFonts w:ascii="Times New Roman" w:cs="Times New Roman" w:eastAsia="Times New Roman" w:hAnsi="Times New Roman"/>
                <w:sz w:val="11"/>
                <w:szCs w:val="11"/>
                <w:color w:val="auto"/>
              </w:rPr>
              <w:t>353.0</w:t>
            </w:r>
          </w:p>
        </w:tc>
        <w:tc>
          <w:tcPr>
            <w:tcW w:w="10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1"/>
                <w:szCs w:val="11"/>
                <w:color w:val="auto"/>
              </w:rPr>
              <w:t>$</w:t>
            </w:r>
          </w:p>
        </w:tc>
        <w:tc>
          <w:tcPr>
            <w:tcW w:w="102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1,125.0</w:t>
            </w:r>
          </w:p>
        </w:tc>
        <w:tc>
          <w:tcPr>
            <w:tcW w:w="0" w:type="dxa"/>
            <w:vAlign w:val="bottom"/>
          </w:tcPr>
          <w:p>
            <w:pPr>
              <w:spacing w:after="0"/>
              <w:rPr>
                <w:sz w:val="1"/>
                <w:szCs w:val="1"/>
                <w:color w:val="auto"/>
              </w:rPr>
            </w:pPr>
          </w:p>
        </w:tc>
      </w:tr>
      <w:tr>
        <w:trPr>
          <w:trHeight w:val="20"/>
        </w:trPr>
        <w:tc>
          <w:tcPr>
            <w:tcW w:w="2840" w:type="dxa"/>
            <w:vAlign w:val="bottom"/>
            <w:vMerge w:val="restart"/>
          </w:tcPr>
          <w:p>
            <w:pPr>
              <w:spacing w:after="0"/>
              <w:rPr>
                <w:sz w:val="20"/>
                <w:szCs w:val="20"/>
                <w:color w:val="auto"/>
              </w:rPr>
            </w:pPr>
            <w:r>
              <w:rPr>
                <w:rFonts w:ascii="Times New Roman" w:cs="Times New Roman" w:eastAsia="Times New Roman" w:hAnsi="Times New Roman"/>
                <w:sz w:val="11"/>
                <w:szCs w:val="11"/>
                <w:color w:val="auto"/>
                <w:w w:val="97"/>
              </w:rPr>
              <w:t>Diluted earnings (loss) per share attributable to TechnipFMC plc,</w:t>
            </w: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17"/>
        </w:trPr>
        <w:tc>
          <w:tcPr>
            <w:tcW w:w="284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0"/>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as reported</w:t>
            </w:r>
          </w:p>
        </w:tc>
        <w:tc>
          <w:tcPr>
            <w:tcW w:w="120" w:type="dxa"/>
            <w:vAlign w:val="bottom"/>
            <w:gridSpan w:val="2"/>
          </w:tcPr>
          <w:p>
            <w:pPr>
              <w:jc w:val="right"/>
              <w:ind w:right="40"/>
              <w:spacing w:after="0"/>
              <w:rPr>
                <w:sz w:val="20"/>
                <w:szCs w:val="20"/>
                <w:color w:val="auto"/>
              </w:rPr>
            </w:pPr>
            <w:r>
              <w:rPr>
                <w:rFonts w:ascii="Times New Roman" w:cs="Times New Roman" w:eastAsia="Times New Roman" w:hAnsi="Times New Roman"/>
                <w:sz w:val="11"/>
                <w:szCs w:val="11"/>
                <w:color w:val="auto"/>
              </w:rPr>
              <w:t>$</w:t>
            </w: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1"/>
                <w:szCs w:val="11"/>
                <w:color w:val="auto"/>
              </w:rPr>
              <w:t>—</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7"/>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w w:val="99"/>
              </w:rPr>
              <w:t>Adjusted diluted earnings per share attributable to TechnipFMC</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0"/>
        </w:trPr>
        <w:tc>
          <w:tcPr>
            <w:tcW w:w="2840" w:type="dxa"/>
            <w:vAlign w:val="bottom"/>
          </w:tcPr>
          <w:p>
            <w:pPr>
              <w:spacing w:after="0"/>
              <w:rPr>
                <w:sz w:val="20"/>
                <w:szCs w:val="20"/>
                <w:color w:val="auto"/>
              </w:rPr>
            </w:pPr>
            <w:r>
              <w:rPr>
                <w:rFonts w:ascii="Times New Roman" w:cs="Times New Roman" w:eastAsia="Times New Roman" w:hAnsi="Times New Roman"/>
                <w:sz w:val="11"/>
                <w:szCs w:val="11"/>
                <w:color w:val="auto"/>
              </w:rPr>
              <w:t>plc</w:t>
            </w:r>
          </w:p>
        </w:tc>
        <w:tc>
          <w:tcPr>
            <w:tcW w:w="120" w:type="dxa"/>
            <w:vAlign w:val="bottom"/>
            <w:gridSpan w:val="2"/>
          </w:tcPr>
          <w:p>
            <w:pPr>
              <w:jc w:val="right"/>
              <w:ind w:right="40"/>
              <w:spacing w:after="0"/>
              <w:rPr>
                <w:sz w:val="20"/>
                <w:szCs w:val="20"/>
                <w:color w:val="auto"/>
              </w:rPr>
            </w:pPr>
            <w:r>
              <w:rPr>
                <w:rFonts w:ascii="Times New Roman" w:cs="Times New Roman" w:eastAsia="Times New Roman" w:hAnsi="Times New Roman"/>
                <w:sz w:val="11"/>
                <w:szCs w:val="11"/>
                <w:color w:val="auto"/>
              </w:rPr>
              <w:t>$</w:t>
            </w:r>
          </w:p>
        </w:tc>
        <w:tc>
          <w:tcPr>
            <w:tcW w:w="1000" w:type="dxa"/>
            <w:vAlign w:val="bottom"/>
          </w:tcPr>
          <w:p>
            <w:pPr>
              <w:jc w:val="right"/>
              <w:ind w:right="6"/>
              <w:spacing w:after="0"/>
              <w:rPr>
                <w:sz w:val="20"/>
                <w:szCs w:val="20"/>
                <w:color w:val="auto"/>
              </w:rPr>
            </w:pPr>
            <w:r>
              <w:rPr>
                <w:rFonts w:ascii="Times New Roman" w:cs="Times New Roman" w:eastAsia="Times New Roman" w:hAnsi="Times New Roman"/>
                <w:sz w:val="11"/>
                <w:szCs w:val="11"/>
                <w:color w:val="auto"/>
              </w:rPr>
              <w:t>0.57</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5040"/>
        <w:spacing w:after="0"/>
        <w:tabs>
          <w:tab w:leader="none" w:pos="1026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23 of 26</w:t>
      </w:r>
    </w:p>
    <w:p>
      <w:pPr>
        <w:sectPr>
          <w:pgSz w:w="11900" w:h="16838" w:orient="portrait"/>
          <w:cols w:equalWidth="0" w:num="1">
            <w:col w:w="11240"/>
          </w:cols>
          <w:pgMar w:left="320" w:top="1051" w:right="339" w:bottom="1440" w:gutter="0" w:footer="0" w:header="0"/>
        </w:sectPr>
      </w:pPr>
    </w:p>
    <w:bookmarkStart w:id="27" w:name="page28"/>
    <w:bookmarkEnd w:id="27"/>
    <w:p>
      <w:pPr>
        <w:jc w:val="right"/>
        <w:spacing w:after="0"/>
        <w:rPr>
          <w:sz w:val="20"/>
          <w:szCs w:val="20"/>
          <w:color w:val="auto"/>
        </w:rPr>
      </w:pPr>
      <w:r>
        <w:rPr>
          <w:rFonts w:ascii="Times New Roman" w:cs="Times New Roman" w:eastAsia="Times New Roman" w:hAnsi="Times New Roman"/>
          <w:sz w:val="13"/>
          <w:szCs w:val="13"/>
          <w:b w:val="1"/>
          <w:bCs w:val="1"/>
          <w:color w:val="auto"/>
        </w:rPr>
        <w:t>Exhibit 10</w:t>
      </w:r>
    </w:p>
    <w:p>
      <w:pPr>
        <w:spacing w:after="0" w:line="16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3"/>
          <w:szCs w:val="13"/>
          <w:b w:val="1"/>
          <w:bCs w:val="1"/>
          <w:u w:val="single" w:color="auto"/>
          <w:color w:val="auto"/>
        </w:rPr>
        <w:t>TECHNIPFMC PLC AND CONSOLIDATED SUBSIDIARIES</w:t>
      </w:r>
    </w:p>
    <w:p>
      <w:pPr>
        <w:spacing w:after="0" w:line="1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2"/>
          <w:szCs w:val="12"/>
          <w:b w:val="1"/>
          <w:bCs w:val="1"/>
          <w:u w:val="single" w:color="auto"/>
          <w:color w:val="auto"/>
        </w:rPr>
        <w:t>RECONCILIATION OF GAAP TO NON-GAAP FINANCIAL MEASURES</w:t>
      </w:r>
    </w:p>
    <w:p>
      <w:pPr>
        <w:spacing w:after="0" w:line="1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3"/>
          <w:szCs w:val="13"/>
          <w:b w:val="1"/>
          <w:bCs w:val="1"/>
          <w:color w:val="auto"/>
        </w:rPr>
        <w:t>(In millions,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2392680</wp:posOffset>
            </wp:positionH>
            <wp:positionV relativeFrom="paragraph">
              <wp:posOffset>19050</wp:posOffset>
            </wp:positionV>
            <wp:extent cx="473202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4732020" cy="8255"/>
                    </a:xfrm>
                    <a:prstGeom prst="rect">
                      <a:avLst/>
                    </a:prstGeom>
                    <a:noFill/>
                  </pic:spPr>
                </pic:pic>
              </a:graphicData>
            </a:graphic>
          </wp:anchor>
        </w:drawing>
      </w:r>
    </w:p>
    <w:p>
      <w:pPr>
        <w:spacing w:after="0" w:line="26" w:lineRule="exact"/>
        <w:rPr>
          <w:sz w:val="20"/>
          <w:szCs w:val="20"/>
          <w:color w:val="auto"/>
        </w:rPr>
      </w:pPr>
    </w:p>
    <w:p>
      <w:pPr>
        <w:ind w:left="6840"/>
        <w:spacing w:after="0"/>
        <w:rPr>
          <w:sz w:val="20"/>
          <w:szCs w:val="20"/>
          <w:color w:val="auto"/>
        </w:rPr>
      </w:pPr>
      <w:r>
        <w:rPr>
          <w:rFonts w:ascii="Times New Roman" w:cs="Times New Roman" w:eastAsia="Times New Roman" w:hAnsi="Times New Roman"/>
          <w:sz w:val="14"/>
          <w:szCs w:val="14"/>
          <w:b w:val="1"/>
          <w:bCs w:val="1"/>
          <w:color w:val="auto"/>
        </w:rPr>
        <w:t>Three Months Ended</w:t>
      </w:r>
    </w:p>
    <w:p>
      <w:pPr>
        <w:spacing w:after="0" w:line="42" w:lineRule="exact"/>
        <w:rPr>
          <w:sz w:val="20"/>
          <w:szCs w:val="20"/>
          <w:color w:val="auto"/>
        </w:rPr>
      </w:pPr>
    </w:p>
    <w:p>
      <w:pPr>
        <w:ind w:left="6900"/>
        <w:spacing w:after="0"/>
        <w:rPr>
          <w:sz w:val="20"/>
          <w:szCs w:val="20"/>
          <w:color w:val="auto"/>
        </w:rPr>
      </w:pPr>
      <w:r>
        <w:rPr>
          <w:rFonts w:ascii="Times New Roman" w:cs="Times New Roman" w:eastAsia="Times New Roman" w:hAnsi="Times New Roman"/>
          <w:sz w:val="14"/>
          <w:szCs w:val="14"/>
          <w:b w:val="1"/>
          <w:bCs w:val="1"/>
          <w:color w:val="auto"/>
        </w:rPr>
        <w:t>September 30,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2392680</wp:posOffset>
            </wp:positionH>
            <wp:positionV relativeFrom="paragraph">
              <wp:posOffset>24765</wp:posOffset>
            </wp:positionV>
            <wp:extent cx="47320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4732020" cy="8890"/>
                    </a:xfrm>
                    <a:prstGeom prst="rect">
                      <a:avLst/>
                    </a:prstGeom>
                    <a:noFill/>
                  </pic:spPr>
                </pic:pic>
              </a:graphicData>
            </a:graphic>
          </wp:anchor>
        </w:drawing>
      </w:r>
    </w:p>
    <w:p>
      <w:pPr>
        <w:sectPr>
          <w:pgSz w:w="11900" w:h="16838" w:orient="portrait"/>
          <w:cols w:equalWidth="0" w:num="1">
            <w:col w:w="11220"/>
          </w:cols>
          <w:pgMar w:left="340" w:top="1051" w:right="339" w:bottom="1440" w:gutter="0" w:footer="0" w:header="0"/>
        </w:sect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Revenue</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Operating profit (loss), as reported (pre-tax)</w:t>
      </w:r>
    </w:p>
    <w:p>
      <w:pPr>
        <w:spacing w:after="0" w:line="204" w:lineRule="exact"/>
        <w:rPr>
          <w:sz w:val="20"/>
          <w:szCs w:val="20"/>
          <w:color w:val="auto"/>
        </w:rPr>
      </w:pPr>
    </w:p>
    <w:p>
      <w:pPr>
        <w:ind w:left="200" w:right="1020" w:hanging="183"/>
        <w:spacing w:after="0" w:line="306" w:lineRule="auto"/>
        <w:rPr>
          <w:sz w:val="20"/>
          <w:szCs w:val="20"/>
          <w:color w:val="auto"/>
        </w:rPr>
      </w:pPr>
      <w:r>
        <w:rPr>
          <w:rFonts w:ascii="Times New Roman" w:cs="Times New Roman" w:eastAsia="Times New Roman" w:hAnsi="Times New Roman"/>
          <w:sz w:val="14"/>
          <w:szCs w:val="14"/>
          <w:color w:val="auto"/>
        </w:rPr>
        <w:t>Charges and (credits): Impairment and other charges Restructuring and other charges Direct COVID-19 expenses</w:t>
      </w:r>
    </w:p>
    <w:p>
      <w:pPr>
        <w:spacing w:after="0" w:line="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4"/>
          <w:szCs w:val="14"/>
          <w:color w:val="auto"/>
        </w:rPr>
        <w:t>Subtotal</w:t>
      </w:r>
    </w:p>
    <w:p>
      <w:pPr>
        <w:spacing w:after="0" w:line="20" w:lineRule="exact"/>
        <w:rPr>
          <w:sz w:val="20"/>
          <w:szCs w:val="20"/>
          <w:color w:val="auto"/>
        </w:rPr>
      </w:pPr>
      <w:r>
        <w:rPr>
          <w:sz w:val="20"/>
          <w:szCs w:val="20"/>
          <w:color w:val="auto"/>
        </w:rPr>
        <w:br w:type="column"/>
      </w:r>
    </w:p>
    <w:p>
      <w:pPr>
        <w:spacing w:after="0" w:line="2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40" w:type="dxa"/>
            <w:vAlign w:val="bottom"/>
          </w:tcPr>
          <w:p>
            <w:pPr>
              <w:spacing w:after="0"/>
              <w:rPr>
                <w:sz w:val="13"/>
                <w:szCs w:val="13"/>
                <w:color w:val="auto"/>
              </w:rPr>
            </w:pPr>
          </w:p>
        </w:tc>
        <w:tc>
          <w:tcPr>
            <w:tcW w:w="940" w:type="dxa"/>
            <w:vAlign w:val="bottom"/>
            <w:vMerge w:val="restart"/>
          </w:tcPr>
          <w:p>
            <w:pPr>
              <w:jc w:val="right"/>
              <w:ind w:right="288"/>
              <w:spacing w:after="0"/>
              <w:rPr>
                <w:sz w:val="20"/>
                <w:szCs w:val="20"/>
                <w:color w:val="auto"/>
              </w:rPr>
            </w:pPr>
            <w:r>
              <w:rPr>
                <w:rFonts w:ascii="Times New Roman" w:cs="Times New Roman" w:eastAsia="Times New Roman" w:hAnsi="Times New Roman"/>
                <w:sz w:val="14"/>
                <w:szCs w:val="14"/>
                <w:b w:val="1"/>
                <w:bCs w:val="1"/>
                <w:color w:val="auto"/>
              </w:rPr>
              <w:t>Subsea</w:t>
            </w:r>
          </w:p>
        </w:tc>
        <w:tc>
          <w:tcPr>
            <w:tcW w:w="120" w:type="dxa"/>
            <w:vAlign w:val="bottom"/>
            <w:vMerge w:val="restart"/>
          </w:tcPr>
          <w:p>
            <w:pPr>
              <w:spacing w:after="0"/>
              <w:rPr>
                <w:sz w:val="13"/>
                <w:szCs w:val="13"/>
                <w:color w:val="auto"/>
              </w:rPr>
            </w:pPr>
          </w:p>
        </w:tc>
        <w:tc>
          <w:tcPr>
            <w:tcW w:w="11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Technip Energies</w:t>
            </w:r>
          </w:p>
        </w:tc>
        <w:tc>
          <w:tcPr>
            <w:tcW w:w="10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1160" w:type="dxa"/>
            <w:vAlign w:val="bottom"/>
            <w:gridSpan w:val="2"/>
          </w:tcPr>
          <w:p>
            <w:pPr>
              <w:ind w:left="220"/>
              <w:spacing w:after="0"/>
              <w:rPr>
                <w:sz w:val="20"/>
                <w:szCs w:val="20"/>
                <w:color w:val="auto"/>
              </w:rPr>
            </w:pPr>
            <w:r>
              <w:rPr>
                <w:rFonts w:ascii="Times New Roman" w:cs="Times New Roman" w:eastAsia="Times New Roman" w:hAnsi="Times New Roman"/>
                <w:sz w:val="14"/>
                <w:szCs w:val="14"/>
                <w:b w:val="1"/>
                <w:bCs w:val="1"/>
                <w:color w:val="auto"/>
              </w:rPr>
              <w:t>Surface</w:t>
            </w:r>
          </w:p>
        </w:tc>
        <w:tc>
          <w:tcPr>
            <w:tcW w:w="160" w:type="dxa"/>
            <w:vAlign w:val="bottom"/>
          </w:tcPr>
          <w:p>
            <w:pPr>
              <w:spacing w:after="0"/>
              <w:rPr>
                <w:sz w:val="13"/>
                <w:szCs w:val="13"/>
                <w:color w:val="auto"/>
              </w:rPr>
            </w:pPr>
          </w:p>
        </w:tc>
        <w:tc>
          <w:tcPr>
            <w:tcW w:w="1020" w:type="dxa"/>
            <w:vAlign w:val="bottom"/>
            <w:gridSpan w:val="2"/>
          </w:tcPr>
          <w:p>
            <w:pPr>
              <w:ind w:left="80"/>
              <w:spacing w:after="0"/>
              <w:rPr>
                <w:sz w:val="20"/>
                <w:szCs w:val="20"/>
                <w:color w:val="auto"/>
              </w:rPr>
            </w:pPr>
            <w:r>
              <w:rPr>
                <w:rFonts w:ascii="Times New Roman" w:cs="Times New Roman" w:eastAsia="Times New Roman" w:hAnsi="Times New Roman"/>
                <w:sz w:val="14"/>
                <w:szCs w:val="14"/>
                <w:b w:val="1"/>
                <w:bCs w:val="1"/>
                <w:color w:val="auto"/>
              </w:rPr>
              <w:t>Corporate</w:t>
            </w:r>
          </w:p>
        </w:tc>
        <w:tc>
          <w:tcPr>
            <w:tcW w:w="100" w:type="dxa"/>
            <w:vAlign w:val="bottom"/>
          </w:tcPr>
          <w:p>
            <w:pPr>
              <w:spacing w:after="0"/>
              <w:rPr>
                <w:sz w:val="13"/>
                <w:szCs w:val="13"/>
                <w:color w:val="auto"/>
              </w:rPr>
            </w:pPr>
          </w:p>
        </w:tc>
        <w:tc>
          <w:tcPr>
            <w:tcW w:w="1100" w:type="dxa"/>
            <w:vAlign w:val="bottom"/>
            <w:gridSpan w:val="2"/>
          </w:tcPr>
          <w:p>
            <w:pPr>
              <w:ind w:left="200"/>
              <w:spacing w:after="0"/>
              <w:rPr>
                <w:sz w:val="20"/>
                <w:szCs w:val="20"/>
                <w:color w:val="auto"/>
              </w:rPr>
            </w:pPr>
            <w:r>
              <w:rPr>
                <w:rFonts w:ascii="Times New Roman" w:cs="Times New Roman" w:eastAsia="Times New Roman" w:hAnsi="Times New Roman"/>
                <w:sz w:val="14"/>
                <w:szCs w:val="14"/>
                <w:b w:val="1"/>
                <w:bCs w:val="1"/>
                <w:color w:val="auto"/>
              </w:rPr>
              <w:t>Foreign</w:t>
            </w:r>
          </w:p>
        </w:tc>
        <w:tc>
          <w:tcPr>
            <w:tcW w:w="260" w:type="dxa"/>
            <w:vAlign w:val="bottom"/>
          </w:tcPr>
          <w:p>
            <w:pPr>
              <w:spacing w:after="0"/>
              <w:rPr>
                <w:sz w:val="13"/>
                <w:szCs w:val="13"/>
                <w:color w:val="auto"/>
              </w:rPr>
            </w:pPr>
          </w:p>
        </w:tc>
        <w:tc>
          <w:tcPr>
            <w:tcW w:w="920" w:type="dxa"/>
            <w:vAlign w:val="bottom"/>
            <w:vMerge w:val="restart"/>
          </w:tcPr>
          <w:p>
            <w:pPr>
              <w:jc w:val="right"/>
              <w:ind w:right="368"/>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5"/>
        </w:trPr>
        <w:tc>
          <w:tcPr>
            <w:tcW w:w="2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180" w:type="dxa"/>
            <w:vAlign w:val="bottom"/>
            <w:tcBorders>
              <w:bottom w:val="single" w:sz="8" w:color="auto"/>
            </w:tcBorders>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148"/>
              <w:spacing w:after="0"/>
              <w:rPr>
                <w:sz w:val="20"/>
                <w:szCs w:val="20"/>
                <w:color w:val="auto"/>
              </w:rPr>
            </w:pPr>
            <w:r>
              <w:rPr>
                <w:rFonts w:ascii="Times New Roman" w:cs="Times New Roman" w:eastAsia="Times New Roman" w:hAnsi="Times New Roman"/>
                <w:sz w:val="14"/>
                <w:szCs w:val="14"/>
                <w:b w:val="1"/>
                <w:bCs w:val="1"/>
                <w:color w:val="auto"/>
              </w:rPr>
              <w:t>Technologies</w:t>
            </w: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208"/>
              <w:spacing w:after="0"/>
              <w:rPr>
                <w:sz w:val="20"/>
                <w:szCs w:val="20"/>
                <w:color w:val="auto"/>
              </w:rPr>
            </w:pPr>
            <w:r>
              <w:rPr>
                <w:rFonts w:ascii="Times New Roman" w:cs="Times New Roman" w:eastAsia="Times New Roman" w:hAnsi="Times New Roman"/>
                <w:sz w:val="14"/>
                <w:szCs w:val="14"/>
                <w:b w:val="1"/>
                <w:bCs w:val="1"/>
                <w:color w:val="auto"/>
              </w:rPr>
              <w:t>Expense</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b w:val="1"/>
                <w:bCs w:val="1"/>
                <w:color w:val="auto"/>
              </w:rPr>
              <w:t>Exchange, net</w:t>
            </w: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1,501.8</w:t>
            </w:r>
          </w:p>
        </w:tc>
        <w:tc>
          <w:tcPr>
            <w:tcW w:w="120" w:type="dxa"/>
            <w:vAlign w:val="bottom"/>
          </w:tcPr>
          <w:p>
            <w:pPr>
              <w:spacing w:after="0"/>
              <w:rPr>
                <w:sz w:val="16"/>
                <w:szCs w:val="16"/>
                <w:color w:val="auto"/>
              </w:rPr>
            </w:pPr>
          </w:p>
        </w:tc>
        <w:tc>
          <w:tcPr>
            <w:tcW w:w="320" w:type="dxa"/>
            <w:vAlign w:val="bottom"/>
          </w:tcPr>
          <w:p>
            <w:pPr>
              <w:jc w:val="right"/>
              <w:ind w:right="168"/>
              <w:spacing w:after="0"/>
              <w:rPr>
                <w:sz w:val="20"/>
                <w:szCs w:val="20"/>
                <w:color w:val="auto"/>
              </w:rPr>
            </w:pPr>
            <w:r>
              <w:rPr>
                <w:rFonts w:ascii="Times New Roman" w:cs="Times New Roman" w:eastAsia="Times New Roman" w:hAnsi="Times New Roman"/>
                <w:sz w:val="14"/>
                <w:szCs w:val="14"/>
                <w:color w:val="auto"/>
                <w:w w:val="85"/>
              </w:rPr>
              <w:t>$</w:t>
            </w:r>
          </w:p>
        </w:tc>
        <w:tc>
          <w:tcPr>
            <w:tcW w:w="86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1,608.2</w:t>
            </w:r>
          </w:p>
        </w:tc>
        <w:tc>
          <w:tcPr>
            <w:tcW w:w="10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225.7</w:t>
            </w:r>
          </w:p>
        </w:tc>
        <w:tc>
          <w:tcPr>
            <w:tcW w:w="10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2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3,335.7</w:t>
            </w:r>
          </w:p>
        </w:tc>
        <w:tc>
          <w:tcPr>
            <w:tcW w:w="0" w:type="dxa"/>
            <w:vAlign w:val="bottom"/>
          </w:tcPr>
          <w:p>
            <w:pPr>
              <w:spacing w:after="0"/>
              <w:rPr>
                <w:sz w:val="1"/>
                <w:szCs w:val="1"/>
                <w:color w:val="auto"/>
              </w:rPr>
            </w:pPr>
          </w:p>
        </w:tc>
      </w:tr>
      <w:tr>
        <w:trPr>
          <w:trHeight w:val="364"/>
        </w:trPr>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20.3</w:t>
            </w:r>
          </w:p>
        </w:tc>
        <w:tc>
          <w:tcPr>
            <w:tcW w:w="120" w:type="dxa"/>
            <w:vAlign w:val="bottom"/>
          </w:tcPr>
          <w:p>
            <w:pPr>
              <w:spacing w:after="0"/>
              <w:rPr>
                <w:sz w:val="24"/>
                <w:szCs w:val="24"/>
                <w:color w:val="auto"/>
              </w:rPr>
            </w:pPr>
          </w:p>
        </w:tc>
        <w:tc>
          <w:tcPr>
            <w:tcW w:w="320" w:type="dxa"/>
            <w:vAlign w:val="bottom"/>
          </w:tcPr>
          <w:p>
            <w:pPr>
              <w:jc w:val="right"/>
              <w:ind w:right="168"/>
              <w:spacing w:after="0"/>
              <w:rPr>
                <w:sz w:val="20"/>
                <w:szCs w:val="20"/>
                <w:color w:val="auto"/>
              </w:rPr>
            </w:pPr>
            <w:r>
              <w:rPr>
                <w:rFonts w:ascii="Times New Roman" w:cs="Times New Roman" w:eastAsia="Times New Roman" w:hAnsi="Times New Roman"/>
                <w:sz w:val="14"/>
                <w:szCs w:val="14"/>
                <w:color w:val="auto"/>
                <w:w w:val="85"/>
              </w:rPr>
              <w:t>$</w:t>
            </w:r>
          </w:p>
        </w:tc>
        <w:tc>
          <w:tcPr>
            <w:tcW w:w="86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129.5</w:t>
            </w:r>
          </w:p>
        </w:tc>
        <w:tc>
          <w:tcPr>
            <w:tcW w:w="1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(7.0)</w:t>
            </w:r>
          </w:p>
        </w:tc>
        <w:tc>
          <w:tcPr>
            <w:tcW w:w="1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(27.7)</w:t>
            </w: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5.6</w:t>
            </w:r>
          </w:p>
        </w:tc>
        <w:tc>
          <w:tcPr>
            <w:tcW w:w="120" w:type="dxa"/>
            <w:vAlign w:val="bottom"/>
          </w:tcPr>
          <w:p>
            <w:pPr>
              <w:spacing w:after="0"/>
              <w:rPr>
                <w:sz w:val="24"/>
                <w:szCs w:val="24"/>
                <w:color w:val="auto"/>
              </w:rPr>
            </w:pP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2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120.7</w:t>
            </w:r>
          </w:p>
        </w:tc>
        <w:tc>
          <w:tcPr>
            <w:tcW w:w="0" w:type="dxa"/>
            <w:vAlign w:val="bottom"/>
          </w:tcPr>
          <w:p>
            <w:pPr>
              <w:spacing w:after="0"/>
              <w:rPr>
                <w:sz w:val="1"/>
                <w:szCs w:val="1"/>
                <w:color w:val="auto"/>
              </w:rPr>
            </w:pPr>
          </w:p>
        </w:tc>
      </w:tr>
      <w:tr>
        <w:trPr>
          <w:trHeight w:val="567"/>
        </w:trPr>
        <w:tc>
          <w:tcPr>
            <w:tcW w:w="240" w:type="dxa"/>
            <w:vAlign w:val="bottom"/>
          </w:tcPr>
          <w:p>
            <w:pPr>
              <w:spacing w:after="0"/>
              <w:rPr>
                <w:sz w:val="24"/>
                <w:szCs w:val="24"/>
                <w:color w:val="auto"/>
              </w:rPr>
            </w:pPr>
          </w:p>
        </w:tc>
        <w:tc>
          <w:tcPr>
            <w:tcW w:w="94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17.6</w:t>
            </w: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6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5.7</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5.4</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24"/>
                <w:szCs w:val="24"/>
                <w:color w:val="auto"/>
              </w:rPr>
            </w:pPr>
          </w:p>
        </w:tc>
        <w:tc>
          <w:tcPr>
            <w:tcW w:w="92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31.3</w:t>
            </w:r>
          </w:p>
        </w:tc>
        <w:tc>
          <w:tcPr>
            <w:tcW w:w="0" w:type="dxa"/>
            <w:vAlign w:val="bottom"/>
          </w:tcPr>
          <w:p>
            <w:pPr>
              <w:spacing w:after="0"/>
              <w:rPr>
                <w:sz w:val="1"/>
                <w:szCs w:val="1"/>
                <w:color w:val="auto"/>
              </w:rPr>
            </w:pPr>
          </w:p>
        </w:tc>
      </w:tr>
      <w:tr>
        <w:trPr>
          <w:trHeight w:val="203"/>
        </w:trPr>
        <w:tc>
          <w:tcPr>
            <w:tcW w:w="240" w:type="dxa"/>
            <w:vAlign w:val="bottom"/>
          </w:tcPr>
          <w:p>
            <w:pPr>
              <w:spacing w:after="0"/>
              <w:rPr>
                <w:sz w:val="17"/>
                <w:szCs w:val="17"/>
                <w:color w:val="auto"/>
              </w:rPr>
            </w:pPr>
          </w:p>
        </w:tc>
        <w:tc>
          <w:tcPr>
            <w:tcW w:w="94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7.1</w:t>
            </w: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6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15.1</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6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0.9</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92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24.3</w:t>
            </w:r>
          </w:p>
        </w:tc>
        <w:tc>
          <w:tcPr>
            <w:tcW w:w="0" w:type="dxa"/>
            <w:vAlign w:val="bottom"/>
          </w:tcPr>
          <w:p>
            <w:pPr>
              <w:spacing w:after="0"/>
              <w:rPr>
                <w:sz w:val="1"/>
                <w:szCs w:val="1"/>
                <w:color w:val="auto"/>
              </w:rPr>
            </w:pPr>
          </w:p>
        </w:tc>
      </w:tr>
      <w:tr>
        <w:trPr>
          <w:trHeight w:val="208"/>
        </w:trPr>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128"/>
              <w:spacing w:after="0"/>
              <w:rPr>
                <w:sz w:val="20"/>
                <w:szCs w:val="20"/>
                <w:color w:val="auto"/>
              </w:rPr>
            </w:pPr>
            <w:r>
              <w:rPr>
                <w:rFonts w:ascii="Times New Roman" w:cs="Times New Roman" w:eastAsia="Times New Roman" w:hAnsi="Times New Roman"/>
                <w:sz w:val="14"/>
                <w:szCs w:val="14"/>
                <w:color w:val="auto"/>
              </w:rPr>
              <w:t>18.7</w:t>
            </w:r>
          </w:p>
        </w:tc>
        <w:tc>
          <w:tcPr>
            <w:tcW w:w="12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128"/>
              <w:spacing w:after="0"/>
              <w:rPr>
                <w:sz w:val="20"/>
                <w:szCs w:val="20"/>
                <w:color w:val="auto"/>
              </w:rPr>
            </w:pPr>
            <w:r>
              <w:rPr>
                <w:rFonts w:ascii="Times New Roman" w:cs="Times New Roman" w:eastAsia="Times New Roman" w:hAnsi="Times New Roman"/>
                <w:sz w:val="14"/>
                <w:szCs w:val="14"/>
                <w:color w:val="auto"/>
              </w:rPr>
              <w:t>15.3</w:t>
            </w:r>
          </w:p>
        </w:tc>
        <w:tc>
          <w:tcPr>
            <w:tcW w:w="1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128"/>
              <w:spacing w:after="0"/>
              <w:rPr>
                <w:sz w:val="20"/>
                <w:szCs w:val="20"/>
                <w:color w:val="auto"/>
              </w:rPr>
            </w:pPr>
            <w:r>
              <w:rPr>
                <w:rFonts w:ascii="Times New Roman" w:cs="Times New Roman" w:eastAsia="Times New Roman" w:hAnsi="Times New Roman"/>
                <w:sz w:val="14"/>
                <w:szCs w:val="14"/>
                <w:color w:val="auto"/>
              </w:rPr>
              <w:t>2.4</w:t>
            </w:r>
          </w:p>
        </w:tc>
        <w:tc>
          <w:tcPr>
            <w:tcW w:w="1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128"/>
              <w:spacing w:after="0"/>
              <w:rPr>
                <w:sz w:val="20"/>
                <w:szCs w:val="20"/>
                <w:color w:val="auto"/>
              </w:rPr>
            </w:pPr>
            <w:r>
              <w:rPr>
                <w:rFonts w:ascii="Times New Roman" w:cs="Times New Roman" w:eastAsia="Times New Roman" w:hAnsi="Times New Roman"/>
                <w:sz w:val="14"/>
                <w:szCs w:val="14"/>
                <w:color w:val="auto"/>
              </w:rPr>
              <w:t>36.4</w:t>
            </w:r>
          </w:p>
        </w:tc>
        <w:tc>
          <w:tcPr>
            <w:tcW w:w="0" w:type="dxa"/>
            <w:vAlign w:val="bottom"/>
          </w:tcPr>
          <w:p>
            <w:pPr>
              <w:spacing w:after="0"/>
              <w:rPr>
                <w:sz w:val="1"/>
                <w:szCs w:val="1"/>
                <w:color w:val="auto"/>
              </w:rPr>
            </w:pPr>
          </w:p>
        </w:tc>
      </w:tr>
      <w:tr>
        <w:trPr>
          <w:trHeight w:val="191"/>
        </w:trPr>
        <w:tc>
          <w:tcPr>
            <w:tcW w:w="240" w:type="dxa"/>
            <w:vAlign w:val="bottom"/>
          </w:tcPr>
          <w:p>
            <w:pPr>
              <w:spacing w:after="0"/>
              <w:rPr>
                <w:sz w:val="16"/>
                <w:szCs w:val="16"/>
                <w:color w:val="auto"/>
              </w:rPr>
            </w:pPr>
          </w:p>
        </w:tc>
        <w:tc>
          <w:tcPr>
            <w:tcW w:w="94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43.4</w:t>
            </w:r>
          </w:p>
        </w:tc>
        <w:tc>
          <w:tcPr>
            <w:tcW w:w="1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6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36.1</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8.7</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3.8</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0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6"/>
                <w:szCs w:val="16"/>
                <w:color w:val="auto"/>
              </w:rPr>
            </w:pPr>
          </w:p>
        </w:tc>
        <w:tc>
          <w:tcPr>
            <w:tcW w:w="92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92.0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473202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4732020" cy="8255"/>
                    </a:xfrm>
                    <a:prstGeom prst="rect">
                      <a:avLst/>
                    </a:prstGeom>
                    <a:noFill/>
                  </pic:spPr>
                </pic:pic>
              </a:graphicData>
            </a:graphic>
          </wp:anchor>
        </w:drawing>
      </w:r>
    </w:p>
    <w:p>
      <w:pPr>
        <w:spacing w:after="0" w:line="190" w:lineRule="exact"/>
        <w:rPr>
          <w:sz w:val="20"/>
          <w:szCs w:val="20"/>
          <w:color w:val="auto"/>
        </w:rPr>
      </w:pPr>
    </w:p>
    <w:p>
      <w:pPr>
        <w:sectPr>
          <w:pgSz w:w="11900" w:h="16838" w:orient="portrait"/>
          <w:cols w:equalWidth="0" w:num="2">
            <w:col w:w="3040" w:space="720"/>
            <w:col w:w="7460"/>
          </w:cols>
          <w:pgMar w:left="340" w:top="1051" w:right="339" w:bottom="1440" w:gutter="0" w:footer="0" w:header="0"/>
          <w:type w:val="continuous"/>
        </w:sectPr>
      </w:pPr>
    </w:p>
    <w:tbl>
      <w:tblPr>
        <w:tblLayout w:type="fixed"/>
        <w:tblInd w:w="0" w:type="dxa"/>
        <w:tblCellMar>
          <w:top w:w="0" w:type="dxa"/>
          <w:left w:w="0" w:type="dxa"/>
          <w:bottom w:w="0" w:type="dxa"/>
          <w:right w:w="0" w:type="dxa"/>
        </w:tblCellMar>
      </w:tblPr>
      <w:tr>
        <w:trPr>
          <w:trHeight w:val="193"/>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Adjusted Operating profit (loss)</w:t>
            </w:r>
          </w:p>
        </w:tc>
        <w:tc>
          <w:tcPr>
            <w:tcW w:w="3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63.7</w:t>
            </w:r>
          </w:p>
        </w:tc>
        <w:tc>
          <w:tcPr>
            <w:tcW w:w="1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165.6</w:t>
            </w:r>
          </w:p>
        </w:tc>
        <w:tc>
          <w:tcPr>
            <w:tcW w:w="1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1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(23.9)</w:t>
            </w:r>
          </w:p>
        </w:tc>
        <w:tc>
          <w:tcPr>
            <w:tcW w:w="100" w:type="dxa"/>
            <w:vAlign w:val="bottom"/>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5.6</w:t>
            </w:r>
          </w:p>
        </w:tc>
        <w:tc>
          <w:tcPr>
            <w:tcW w:w="1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212.7</w:t>
            </w:r>
          </w:p>
        </w:tc>
        <w:tc>
          <w:tcPr>
            <w:tcW w:w="160" w:type="dxa"/>
            <w:vAlign w:val="bottom"/>
            <w:tcBorders>
              <w:bottom w:val="single" w:sz="8" w:color="auto"/>
            </w:tcBorders>
          </w:tcPr>
          <w:p>
            <w:pPr>
              <w:spacing w:after="0"/>
              <w:rPr>
                <w:sz w:val="16"/>
                <w:szCs w:val="16"/>
                <w:color w:val="auto"/>
              </w:rPr>
            </w:pPr>
          </w:p>
        </w:tc>
      </w:tr>
      <w:tr>
        <w:trPr>
          <w:trHeight w:val="340"/>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Adjusted Depreciation and amortization</w:t>
            </w:r>
          </w:p>
        </w:tc>
        <w:tc>
          <w:tcPr>
            <w:tcW w:w="3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82.3</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8.9</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15.6</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3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108.5</w:t>
            </w:r>
          </w:p>
        </w:tc>
        <w:tc>
          <w:tcPr>
            <w:tcW w:w="160" w:type="dxa"/>
            <w:vAlign w:val="bottom"/>
          </w:tcPr>
          <w:p>
            <w:pPr>
              <w:spacing w:after="0"/>
              <w:rPr>
                <w:sz w:val="24"/>
                <w:szCs w:val="24"/>
                <w:color w:val="auto"/>
              </w:rPr>
            </w:pPr>
          </w:p>
        </w:tc>
      </w:tr>
      <w:tr>
        <w:trPr>
          <w:trHeight w:val="172"/>
        </w:trPr>
        <w:tc>
          <w:tcPr>
            <w:tcW w:w="376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r>
      <w:tr>
        <w:trPr>
          <w:trHeight w:val="196"/>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Adjusted EBITDA</w:t>
            </w:r>
          </w:p>
        </w:tc>
        <w:tc>
          <w:tcPr>
            <w:tcW w:w="380" w:type="dxa"/>
            <w:vAlign w:val="bottom"/>
          </w:tcPr>
          <w:p>
            <w:pPr>
              <w:jc w:val="right"/>
              <w:ind w:right="208"/>
              <w:spacing w:after="0"/>
              <w:rPr>
                <w:sz w:val="20"/>
                <w:szCs w:val="20"/>
                <w:color w:val="auto"/>
              </w:rPr>
            </w:pPr>
            <w:r>
              <w:rPr>
                <w:rFonts w:ascii="Times New Roman" w:cs="Times New Roman" w:eastAsia="Times New Roman" w:hAnsi="Times New Roman"/>
                <w:sz w:val="14"/>
                <w:szCs w:val="14"/>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146.0</w:t>
            </w:r>
          </w:p>
        </w:tc>
        <w:tc>
          <w:tcPr>
            <w:tcW w:w="640" w:type="dxa"/>
            <w:vAlign w:val="bottom"/>
            <w:gridSpan w:val="3"/>
          </w:tcPr>
          <w:p>
            <w:pPr>
              <w:jc w:val="right"/>
              <w:ind w:right="280"/>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174.5</w:t>
            </w:r>
          </w:p>
        </w:tc>
        <w:tc>
          <w:tcPr>
            <w:tcW w:w="700" w:type="dxa"/>
            <w:vAlign w:val="bottom"/>
            <w:gridSpan w:val="3"/>
          </w:tcPr>
          <w:p>
            <w:pPr>
              <w:jc w:val="right"/>
              <w:ind w:right="340"/>
              <w:spacing w:after="0"/>
              <w:rPr>
                <w:sz w:val="20"/>
                <w:szCs w:val="20"/>
                <w:color w:val="auto"/>
              </w:rPr>
            </w:pPr>
            <w:r>
              <w:rPr>
                <w:rFonts w:ascii="Times New Roman" w:cs="Times New Roman" w:eastAsia="Times New Roman" w:hAnsi="Times New Roman"/>
                <w:sz w:val="14"/>
                <w:szCs w:val="14"/>
                <w:color w:val="auto"/>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17.3</w:t>
            </w:r>
          </w:p>
        </w:tc>
        <w:tc>
          <w:tcPr>
            <w:tcW w:w="660" w:type="dxa"/>
            <w:vAlign w:val="bottom"/>
            <w:gridSpan w:val="3"/>
          </w:tcPr>
          <w:p>
            <w:pPr>
              <w:jc w:val="right"/>
              <w:ind w:right="300"/>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(22.2)</w:t>
            </w:r>
          </w:p>
        </w:tc>
        <w:tc>
          <w:tcPr>
            <w:tcW w:w="100" w:type="dxa"/>
            <w:vAlign w:val="bottom"/>
          </w:tcPr>
          <w:p>
            <w:pPr>
              <w:spacing w:after="0"/>
              <w:rPr>
                <w:sz w:val="17"/>
                <w:szCs w:val="17"/>
                <w:color w:val="auto"/>
              </w:rPr>
            </w:pPr>
          </w:p>
        </w:tc>
        <w:tc>
          <w:tcPr>
            <w:tcW w:w="460" w:type="dxa"/>
            <w:vAlign w:val="bottom"/>
          </w:tcPr>
          <w:p>
            <w:pPr>
              <w:jc w:val="right"/>
              <w:ind w:right="288"/>
              <w:spacing w:after="0"/>
              <w:rPr>
                <w:sz w:val="20"/>
                <w:szCs w:val="20"/>
                <w:color w:val="auto"/>
              </w:rPr>
            </w:pPr>
            <w:r>
              <w:rPr>
                <w:rFonts w:ascii="Times New Roman" w:cs="Times New Roman" w:eastAsia="Times New Roman" w:hAnsi="Times New Roman"/>
                <w:sz w:val="14"/>
                <w:szCs w:val="14"/>
                <w:color w:val="auto"/>
              </w:rPr>
              <w:t>$</w:t>
            </w:r>
          </w:p>
        </w:tc>
        <w:tc>
          <w:tcPr>
            <w:tcW w:w="6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5.6</w:t>
            </w:r>
          </w:p>
        </w:tc>
        <w:tc>
          <w:tcPr>
            <w:tcW w:w="120" w:type="dxa"/>
            <w:vAlign w:val="bottom"/>
          </w:tcPr>
          <w:p>
            <w:pPr>
              <w:spacing w:after="0"/>
              <w:rPr>
                <w:sz w:val="17"/>
                <w:szCs w:val="17"/>
                <w:color w:val="auto"/>
              </w:rPr>
            </w:pPr>
          </w:p>
        </w:tc>
        <w:tc>
          <w:tcPr>
            <w:tcW w:w="380" w:type="dxa"/>
            <w:vAlign w:val="bottom"/>
          </w:tcPr>
          <w:p>
            <w:pPr>
              <w:jc w:val="right"/>
              <w:ind w:right="228"/>
              <w:spacing w:after="0"/>
              <w:rPr>
                <w:sz w:val="20"/>
                <w:szCs w:val="20"/>
                <w:color w:val="auto"/>
              </w:rPr>
            </w:pPr>
            <w:r>
              <w:rPr>
                <w:rFonts w:ascii="Times New Roman" w:cs="Times New Roman" w:eastAsia="Times New Roman" w:hAnsi="Times New Roman"/>
                <w:sz w:val="14"/>
                <w:szCs w:val="14"/>
                <w:color w:val="auto"/>
                <w:w w:val="85"/>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321.2</w:t>
            </w:r>
          </w:p>
        </w:tc>
        <w:tc>
          <w:tcPr>
            <w:tcW w:w="160" w:type="dxa"/>
            <w:vAlign w:val="bottom"/>
          </w:tcPr>
          <w:p>
            <w:pPr>
              <w:spacing w:after="0"/>
              <w:rPr>
                <w:sz w:val="17"/>
                <w:szCs w:val="17"/>
                <w:color w:val="auto"/>
              </w:rPr>
            </w:pPr>
          </w:p>
        </w:tc>
      </w:tr>
      <w:tr>
        <w:trPr>
          <w:trHeight w:val="21"/>
        </w:trPr>
        <w:tc>
          <w:tcPr>
            <w:tcW w:w="376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r>
      <w:tr>
        <w:trPr>
          <w:trHeight w:val="321"/>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Operating profit margin, as reported</w:t>
            </w:r>
          </w:p>
        </w:tc>
        <w:tc>
          <w:tcPr>
            <w:tcW w:w="3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8.1</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8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-3.1 %</w:t>
            </w: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3.6</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365"/>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Adjusted Operating profit margin</w:t>
            </w:r>
          </w:p>
        </w:tc>
        <w:tc>
          <w:tcPr>
            <w:tcW w:w="3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4.2</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10.3</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6.4</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364"/>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Adjusted EBITDA margin</w:t>
            </w:r>
          </w:p>
        </w:tc>
        <w:tc>
          <w:tcPr>
            <w:tcW w:w="3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9.7</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10.9</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7.7</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9.6</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2400935</wp:posOffset>
            </wp:positionH>
            <wp:positionV relativeFrom="paragraph">
              <wp:posOffset>400685</wp:posOffset>
            </wp:positionV>
            <wp:extent cx="472313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472313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37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340" w:type="dxa"/>
            <w:vAlign w:val="bottom"/>
            <w:gridSpan w:val="6"/>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7"/>
        </w:trPr>
        <w:tc>
          <w:tcPr>
            <w:tcW w:w="37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340" w:type="dxa"/>
            <w:vAlign w:val="bottom"/>
            <w:tcBorders>
              <w:bottom w:val="single" w:sz="8" w:color="auto"/>
            </w:tcBorders>
            <w:gridSpan w:val="6"/>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September 30, 2019</w:t>
            </w:r>
          </w:p>
        </w:tc>
        <w:tc>
          <w:tcPr>
            <w:tcW w:w="1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vMerge w:val="restart"/>
          </w:tcPr>
          <w:p>
            <w:pPr>
              <w:jc w:val="right"/>
              <w:ind w:right="148"/>
              <w:spacing w:after="0"/>
              <w:rPr>
                <w:sz w:val="20"/>
                <w:szCs w:val="20"/>
                <w:color w:val="auto"/>
              </w:rPr>
            </w:pPr>
            <w:r>
              <w:rPr>
                <w:rFonts w:ascii="Times New Roman" w:cs="Times New Roman" w:eastAsia="Times New Roman" w:hAnsi="Times New Roman"/>
                <w:sz w:val="14"/>
                <w:szCs w:val="14"/>
                <w:b w:val="1"/>
                <w:bCs w:val="1"/>
                <w:color w:val="auto"/>
              </w:rPr>
              <w:t>Subsea</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gridSpan w:val="3"/>
            <w:vMerge w:val="restart"/>
          </w:tcPr>
          <w:p>
            <w:pPr>
              <w:jc w:val="right"/>
              <w:ind w:right="8"/>
              <w:spacing w:after="0"/>
              <w:rPr>
                <w:sz w:val="20"/>
                <w:szCs w:val="20"/>
                <w:color w:val="auto"/>
              </w:rPr>
            </w:pPr>
            <w:r>
              <w:rPr>
                <w:rFonts w:ascii="Times New Roman" w:cs="Times New Roman" w:eastAsia="Times New Roman" w:hAnsi="Times New Roman"/>
                <w:sz w:val="14"/>
                <w:szCs w:val="14"/>
                <w:b w:val="1"/>
                <w:bCs w:val="1"/>
                <w:color w:val="auto"/>
              </w:rPr>
              <w:t>Technip Energies</w:t>
            </w:r>
          </w:p>
        </w:tc>
        <w:tc>
          <w:tcPr>
            <w:tcW w:w="100" w:type="dxa"/>
            <w:vAlign w:val="bottom"/>
            <w:vMerge w:val="restart"/>
          </w:tcPr>
          <w:p>
            <w:pPr>
              <w:spacing w:after="0"/>
              <w:rPr>
                <w:sz w:val="12"/>
                <w:szCs w:val="12"/>
                <w:color w:val="auto"/>
              </w:rPr>
            </w:pPr>
          </w:p>
        </w:tc>
        <w:tc>
          <w:tcPr>
            <w:tcW w:w="160" w:type="dxa"/>
            <w:vAlign w:val="bottom"/>
            <w:vMerge w:val="restart"/>
          </w:tcPr>
          <w:p>
            <w:pPr>
              <w:spacing w:after="0"/>
              <w:rPr>
                <w:sz w:val="12"/>
                <w:szCs w:val="12"/>
                <w:color w:val="auto"/>
              </w:rPr>
            </w:pPr>
          </w:p>
        </w:tc>
        <w:tc>
          <w:tcPr>
            <w:tcW w:w="880" w:type="dxa"/>
            <w:vAlign w:val="bottom"/>
          </w:tcPr>
          <w:p>
            <w:pPr>
              <w:jc w:val="right"/>
              <w:ind w:right="128"/>
              <w:spacing w:after="0" w:line="149" w:lineRule="exact"/>
              <w:rPr>
                <w:sz w:val="20"/>
                <w:szCs w:val="20"/>
                <w:color w:val="auto"/>
              </w:rPr>
            </w:pPr>
            <w:r>
              <w:rPr>
                <w:rFonts w:ascii="Times New Roman" w:cs="Times New Roman" w:eastAsia="Times New Roman" w:hAnsi="Times New Roman"/>
                <w:sz w:val="14"/>
                <w:szCs w:val="14"/>
                <w:b w:val="1"/>
                <w:bCs w:val="1"/>
                <w:color w:val="auto"/>
              </w:rPr>
              <w:t>Surface</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tcPr>
          <w:p>
            <w:pPr>
              <w:ind w:left="60"/>
              <w:spacing w:after="0" w:line="149" w:lineRule="exact"/>
              <w:rPr>
                <w:sz w:val="20"/>
                <w:szCs w:val="20"/>
                <w:color w:val="auto"/>
              </w:rPr>
            </w:pPr>
            <w:r>
              <w:rPr>
                <w:rFonts w:ascii="Times New Roman" w:cs="Times New Roman" w:eastAsia="Times New Roman" w:hAnsi="Times New Roman"/>
                <w:sz w:val="14"/>
                <w:szCs w:val="14"/>
                <w:b w:val="1"/>
                <w:bCs w:val="1"/>
                <w:color w:val="auto"/>
              </w:rPr>
              <w:t>Corporate</w:t>
            </w:r>
          </w:p>
        </w:tc>
        <w:tc>
          <w:tcPr>
            <w:tcW w:w="100" w:type="dxa"/>
            <w:vAlign w:val="bottom"/>
          </w:tcPr>
          <w:p>
            <w:pPr>
              <w:spacing w:after="0"/>
              <w:rPr>
                <w:sz w:val="12"/>
                <w:szCs w:val="12"/>
                <w:color w:val="auto"/>
              </w:rPr>
            </w:pPr>
          </w:p>
        </w:tc>
        <w:tc>
          <w:tcPr>
            <w:tcW w:w="1080" w:type="dxa"/>
            <w:vAlign w:val="bottom"/>
            <w:gridSpan w:val="2"/>
          </w:tcPr>
          <w:p>
            <w:pPr>
              <w:ind w:left="200"/>
              <w:spacing w:after="0" w:line="149" w:lineRule="exact"/>
              <w:rPr>
                <w:sz w:val="20"/>
                <w:szCs w:val="20"/>
                <w:color w:val="auto"/>
              </w:rPr>
            </w:pPr>
            <w:r>
              <w:rPr>
                <w:rFonts w:ascii="Times New Roman" w:cs="Times New Roman" w:eastAsia="Times New Roman" w:hAnsi="Times New Roman"/>
                <w:sz w:val="14"/>
                <w:szCs w:val="14"/>
                <w:b w:val="1"/>
                <w:bCs w:val="1"/>
                <w:color w:val="auto"/>
              </w:rPr>
              <w:t>Foreign</w:t>
            </w:r>
          </w:p>
        </w:tc>
        <w:tc>
          <w:tcPr>
            <w:tcW w:w="260" w:type="dxa"/>
            <w:vAlign w:val="bottom"/>
          </w:tcPr>
          <w:p>
            <w:pPr>
              <w:spacing w:after="0"/>
              <w:rPr>
                <w:sz w:val="12"/>
                <w:szCs w:val="12"/>
                <w:color w:val="auto"/>
              </w:rPr>
            </w:pPr>
          </w:p>
        </w:tc>
        <w:tc>
          <w:tcPr>
            <w:tcW w:w="780" w:type="dxa"/>
            <w:vAlign w:val="bottom"/>
            <w:vMerge w:val="restart"/>
          </w:tcPr>
          <w:p>
            <w:pPr>
              <w:jc w:val="right"/>
              <w:ind w:right="228"/>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37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Borders>
              <w:bottom w:val="single" w:sz="8" w:color="auto"/>
            </w:tcBorders>
            <w:gridSpan w:val="3"/>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60" w:type="dxa"/>
            <w:vAlign w:val="bottom"/>
            <w:tcBorders>
              <w:bottom w:val="single" w:sz="8" w:color="auto"/>
            </w:tcBorders>
            <w:vMerge w:val="continue"/>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Technologies</w:t>
            </w:r>
          </w:p>
        </w:tc>
        <w:tc>
          <w:tcPr>
            <w:tcW w:w="1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208"/>
              <w:spacing w:after="0"/>
              <w:rPr>
                <w:sz w:val="20"/>
                <w:szCs w:val="20"/>
                <w:color w:val="auto"/>
              </w:rPr>
            </w:pPr>
            <w:r>
              <w:rPr>
                <w:rFonts w:ascii="Times New Roman" w:cs="Times New Roman" w:eastAsia="Times New Roman" w:hAnsi="Times New Roman"/>
                <w:sz w:val="14"/>
                <w:szCs w:val="14"/>
                <w:b w:val="1"/>
                <w:bCs w:val="1"/>
                <w:color w:val="auto"/>
              </w:rPr>
              <w:t>Expense</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Exchange, net</w:t>
            </w: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Revenue</w:t>
            </w: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1,342.2</w:t>
            </w: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1,596.3</w:t>
            </w:r>
          </w:p>
        </w:tc>
        <w:tc>
          <w:tcPr>
            <w:tcW w:w="440" w:type="dxa"/>
            <w:vAlign w:val="bottom"/>
            <w:gridSpan w:val="3"/>
          </w:tcPr>
          <w:p>
            <w:pPr>
              <w:jc w:val="right"/>
              <w:ind w:right="8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396.6</w:t>
            </w:r>
          </w:p>
        </w:tc>
        <w:tc>
          <w:tcPr>
            <w:tcW w:w="44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08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3,335.1</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64"/>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Operating profit (loss), as reported (pre-tax)</w:t>
            </w: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(79.6)</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284.6</w:t>
            </w:r>
          </w:p>
        </w:tc>
        <w:tc>
          <w:tcPr>
            <w:tcW w:w="440" w:type="dxa"/>
            <w:vAlign w:val="bottom"/>
            <w:gridSpan w:val="3"/>
          </w:tcPr>
          <w:p>
            <w:pPr>
              <w:jc w:val="right"/>
              <w:ind w:right="8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6.1</w:t>
            </w:r>
          </w:p>
        </w:tc>
        <w:tc>
          <w:tcPr>
            <w:tcW w:w="44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(75.6)</w:t>
            </w: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Pr>
          <w:p>
            <w:pPr>
              <w:ind w:left="580"/>
              <w:spacing w:after="0"/>
              <w:rPr>
                <w:sz w:val="20"/>
                <w:szCs w:val="20"/>
                <w:color w:val="auto"/>
              </w:rPr>
            </w:pPr>
            <w:r>
              <w:rPr>
                <w:rFonts w:ascii="Times New Roman" w:cs="Times New Roman" w:eastAsia="Times New Roman" w:hAnsi="Times New Roman"/>
                <w:sz w:val="14"/>
                <w:szCs w:val="14"/>
                <w:color w:val="auto"/>
              </w:rPr>
              <w:t>(53.2)</w:t>
            </w:r>
          </w:p>
        </w:tc>
        <w:tc>
          <w:tcPr>
            <w:tcW w:w="100" w:type="dxa"/>
            <w:vAlign w:val="bottom"/>
          </w:tcPr>
          <w:p>
            <w:pPr>
              <w:spacing w:after="0"/>
              <w:rPr>
                <w:sz w:val="24"/>
                <w:szCs w:val="24"/>
                <w:color w:val="auto"/>
              </w:rPr>
            </w:pP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82.3</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Charges and (credits):</w:t>
            </w: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Impairment and other charges</w:t>
            </w:r>
          </w:p>
        </w:tc>
        <w:tc>
          <w:tcPr>
            <w:tcW w:w="24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126.3</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08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126.3</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Restructuring and other charges</w:t>
            </w:r>
          </w:p>
        </w:tc>
        <w:tc>
          <w:tcPr>
            <w:tcW w:w="24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4.9</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5.2</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0.7</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3.2</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8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14.0</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Business combination transaction and integration costs</w:t>
            </w:r>
          </w:p>
        </w:tc>
        <w:tc>
          <w:tcPr>
            <w:tcW w:w="24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6.2</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8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6.2</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Separation costs</w:t>
            </w:r>
          </w:p>
        </w:tc>
        <w:tc>
          <w:tcPr>
            <w:tcW w:w="24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9.4</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8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9.4</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Legal provision, net</w:t>
            </w:r>
          </w:p>
        </w:tc>
        <w:tc>
          <w:tcPr>
            <w:tcW w:w="24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(0.6)</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8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(0.6)</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Purchase price accounting adjustments - amortization related</w:t>
            </w:r>
          </w:p>
        </w:tc>
        <w:tc>
          <w:tcPr>
            <w:tcW w:w="2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8.5</w:t>
            </w:r>
          </w:p>
        </w:tc>
        <w:tc>
          <w:tcPr>
            <w:tcW w:w="16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8.5</w:t>
            </w:r>
          </w:p>
        </w:tc>
        <w:tc>
          <w:tcPr>
            <w:tcW w:w="1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3780" w:type="dxa"/>
            <w:vAlign w:val="bottom"/>
          </w:tcPr>
          <w:p>
            <w:pPr>
              <w:ind w:left="440"/>
              <w:spacing w:after="0"/>
              <w:rPr>
                <w:sz w:val="20"/>
                <w:szCs w:val="20"/>
                <w:color w:val="auto"/>
              </w:rPr>
            </w:pPr>
            <w:r>
              <w:rPr>
                <w:rFonts w:ascii="Times New Roman" w:cs="Times New Roman" w:eastAsia="Times New Roman" w:hAnsi="Times New Roman"/>
                <w:sz w:val="14"/>
                <w:szCs w:val="14"/>
                <w:color w:val="auto"/>
              </w:rPr>
              <w:t>Subtotal</w:t>
            </w:r>
          </w:p>
        </w:tc>
        <w:tc>
          <w:tcPr>
            <w:tcW w:w="24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139.7</w:t>
            </w: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5.2</w:t>
            </w: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0.7</w:t>
            </w: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18.2</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163.8</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2"/>
        </w:trPr>
        <w:tc>
          <w:tcPr>
            <w:tcW w:w="3780" w:type="dxa"/>
            <w:vAlign w:val="bottom"/>
            <w:vMerge w:val="restart"/>
          </w:tcPr>
          <w:p>
            <w:pPr>
              <w:spacing w:after="0"/>
              <w:rPr>
                <w:sz w:val="20"/>
                <w:szCs w:val="20"/>
                <w:color w:val="auto"/>
              </w:rPr>
            </w:pPr>
            <w:r>
              <w:rPr>
                <w:rFonts w:ascii="Times New Roman" w:cs="Times New Roman" w:eastAsia="Times New Roman" w:hAnsi="Times New Roman"/>
                <w:sz w:val="14"/>
                <w:szCs w:val="14"/>
                <w:color w:val="auto"/>
              </w:rPr>
              <w:t>Adjusted Operating profit (loss)</w:t>
            </w:r>
          </w:p>
        </w:tc>
        <w:tc>
          <w:tcPr>
            <w:tcW w:w="2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1"/>
        </w:trPr>
        <w:tc>
          <w:tcPr>
            <w:tcW w:w="3780" w:type="dxa"/>
            <w:vAlign w:val="bottom"/>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60.1</w:t>
            </w:r>
          </w:p>
        </w:tc>
        <w:tc>
          <w:tcPr>
            <w:tcW w:w="1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289.8</w:t>
            </w:r>
          </w:p>
        </w:tc>
        <w:tc>
          <w:tcPr>
            <w:tcW w:w="1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6.8</w:t>
            </w:r>
          </w:p>
        </w:tc>
        <w:tc>
          <w:tcPr>
            <w:tcW w:w="1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(57.4)</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ind w:left="580"/>
              <w:spacing w:after="0"/>
              <w:rPr>
                <w:sz w:val="20"/>
                <w:szCs w:val="20"/>
                <w:color w:val="auto"/>
              </w:rPr>
            </w:pPr>
            <w:r>
              <w:rPr>
                <w:rFonts w:ascii="Times New Roman" w:cs="Times New Roman" w:eastAsia="Times New Roman" w:hAnsi="Times New Roman"/>
                <w:sz w:val="14"/>
                <w:szCs w:val="14"/>
                <w:color w:val="auto"/>
              </w:rPr>
              <w:t>(53.2)</w:t>
            </w: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246.1</w:t>
            </w:r>
          </w:p>
        </w:tc>
        <w:tc>
          <w:tcPr>
            <w:tcW w:w="1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0"/>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Adjusted Depreciation and amortization</w:t>
            </w:r>
          </w:p>
        </w:tc>
        <w:tc>
          <w:tcPr>
            <w:tcW w:w="2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79.0</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14.4</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37.6</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2.1</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133.1</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378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Adjusted EBITDA</w:t>
            </w: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139.1</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304.2</w:t>
            </w:r>
          </w:p>
        </w:tc>
        <w:tc>
          <w:tcPr>
            <w:tcW w:w="440" w:type="dxa"/>
            <w:vAlign w:val="bottom"/>
            <w:gridSpan w:val="3"/>
          </w:tcPr>
          <w:p>
            <w:pPr>
              <w:jc w:val="right"/>
              <w:ind w:right="8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44.4</w:t>
            </w:r>
          </w:p>
        </w:tc>
        <w:tc>
          <w:tcPr>
            <w:tcW w:w="44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(55.3)</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Pr>
          <w:p>
            <w:pPr>
              <w:ind w:left="580"/>
              <w:spacing w:after="0"/>
              <w:rPr>
                <w:sz w:val="20"/>
                <w:szCs w:val="20"/>
                <w:color w:val="auto"/>
              </w:rPr>
            </w:pPr>
            <w:r>
              <w:rPr>
                <w:rFonts w:ascii="Times New Roman" w:cs="Times New Roman" w:eastAsia="Times New Roman" w:hAnsi="Times New Roman"/>
                <w:sz w:val="14"/>
                <w:szCs w:val="14"/>
                <w:color w:val="auto"/>
              </w:rPr>
              <w:t>(53.2)</w:t>
            </w:r>
          </w:p>
        </w:tc>
        <w:tc>
          <w:tcPr>
            <w:tcW w:w="100" w:type="dxa"/>
            <w:vAlign w:val="bottom"/>
          </w:tcPr>
          <w:p>
            <w:pPr>
              <w:spacing w:after="0"/>
              <w:rPr>
                <w:sz w:val="17"/>
                <w:szCs w:val="17"/>
                <w:color w:val="auto"/>
              </w:rPr>
            </w:pP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379.2</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21"/>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Operating profit margin, as reported</w:t>
            </w:r>
          </w:p>
        </w:tc>
        <w:tc>
          <w:tcPr>
            <w:tcW w:w="240" w:type="dxa"/>
            <w:vAlign w:val="bottom"/>
          </w:tcPr>
          <w:p>
            <w:pPr>
              <w:spacing w:after="0"/>
              <w:rPr>
                <w:sz w:val="24"/>
                <w:szCs w:val="24"/>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-5.9 %</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17.8</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w:t>
            </w:r>
          </w:p>
        </w:tc>
        <w:tc>
          <w:tcPr>
            <w:tcW w:w="1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w:t>
            </w: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0" w:type="dxa"/>
            <w:vAlign w:val="bottom"/>
          </w:tcPr>
          <w:p>
            <w:pPr>
              <w:spacing w:after="0"/>
              <w:rPr>
                <w:sz w:val="1"/>
                <w:szCs w:val="1"/>
                <w:color w:val="auto"/>
              </w:rPr>
            </w:pPr>
          </w:p>
        </w:tc>
      </w:tr>
      <w:tr>
        <w:trPr>
          <w:trHeight w:val="365"/>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Adjusted Operating profit margin</w:t>
            </w:r>
          </w:p>
        </w:tc>
        <w:tc>
          <w:tcPr>
            <w:tcW w:w="2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4.5</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18.2</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1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7.4</w:t>
            </w: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0" w:type="dxa"/>
            <w:vAlign w:val="bottom"/>
          </w:tcPr>
          <w:p>
            <w:pPr>
              <w:spacing w:after="0"/>
              <w:rPr>
                <w:sz w:val="1"/>
                <w:szCs w:val="1"/>
                <w:color w:val="auto"/>
              </w:rPr>
            </w:pPr>
          </w:p>
        </w:tc>
      </w:tr>
      <w:tr>
        <w:trPr>
          <w:trHeight w:val="364"/>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Adjusted EBITDA margin</w:t>
            </w:r>
          </w:p>
        </w:tc>
        <w:tc>
          <w:tcPr>
            <w:tcW w:w="2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10.4</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19.1</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11.2</w:t>
            </w:r>
          </w:p>
        </w:tc>
        <w:tc>
          <w:tcPr>
            <w:tcW w:w="1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11.4</w:t>
            </w: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220"/>
          </w:cols>
          <w:pgMar w:left="340" w:top="1051" w:right="339" w:bottom="1440" w:gutter="0" w:footer="0" w:header="0"/>
          <w:type w:val="continuous"/>
        </w:sectPr>
      </w:pPr>
    </w:p>
    <w:p>
      <w:pPr>
        <w:spacing w:after="0" w:line="200" w:lineRule="exact"/>
        <w:rPr>
          <w:sz w:val="20"/>
          <w:szCs w:val="20"/>
          <w:color w:val="auto"/>
        </w:rPr>
      </w:pPr>
    </w:p>
    <w:p>
      <w:pPr>
        <w:spacing w:after="0" w:line="283" w:lineRule="exact"/>
        <w:rPr>
          <w:sz w:val="20"/>
          <w:szCs w:val="20"/>
          <w:color w:val="auto"/>
        </w:rPr>
      </w:pPr>
    </w:p>
    <w:p>
      <w:pPr>
        <w:ind w:left="5020"/>
        <w:spacing w:after="0"/>
        <w:tabs>
          <w:tab w:leader="none" w:pos="1024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24 of 26</w:t>
      </w:r>
    </w:p>
    <w:p>
      <w:pPr>
        <w:sectPr>
          <w:pgSz w:w="11900" w:h="16838" w:orient="portrait"/>
          <w:cols w:equalWidth="0" w:num="1">
            <w:col w:w="11220"/>
          </w:cols>
          <w:pgMar w:left="340" w:top="1051" w:right="339" w:bottom="1440" w:gutter="0" w:footer="0" w:header="0"/>
          <w:type w:val="continuous"/>
        </w:sectPr>
      </w:pPr>
    </w:p>
    <w:bookmarkStart w:id="28" w:name="page29"/>
    <w:bookmarkEnd w:id="28"/>
    <w:p>
      <w:pPr>
        <w:jc w:val="right"/>
        <w:spacing w:after="0"/>
        <w:rPr>
          <w:sz w:val="20"/>
          <w:szCs w:val="20"/>
          <w:color w:val="auto"/>
        </w:rPr>
      </w:pPr>
      <w:r>
        <w:rPr>
          <w:rFonts w:ascii="Times New Roman" w:cs="Times New Roman" w:eastAsia="Times New Roman" w:hAnsi="Times New Roman"/>
          <w:sz w:val="13"/>
          <w:szCs w:val="13"/>
          <w:b w:val="1"/>
          <w:bCs w:val="1"/>
          <w:color w:val="auto"/>
        </w:rPr>
        <w:t>Exhibit 11</w:t>
      </w:r>
    </w:p>
    <w:p>
      <w:pPr>
        <w:spacing w:after="0" w:line="1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3"/>
          <w:szCs w:val="13"/>
          <w:b w:val="1"/>
          <w:bCs w:val="1"/>
          <w:u w:val="single" w:color="auto"/>
          <w:color w:val="auto"/>
        </w:rPr>
        <w:t>TECHNIPFMC PLC AND CONSOLIDATED SUBSIDIARIES</w:t>
      </w:r>
    </w:p>
    <w:p>
      <w:pPr>
        <w:spacing w:after="0" w:line="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3"/>
          <w:szCs w:val="13"/>
          <w:b w:val="1"/>
          <w:bCs w:val="1"/>
          <w:u w:val="single" w:color="auto"/>
          <w:color w:val="auto"/>
        </w:rPr>
        <w:t>RECONCILIATION OF GAAP TO NON-GAAP FINANCIAL MEASURES</w:t>
      </w:r>
    </w:p>
    <w:p>
      <w:pPr>
        <w:jc w:val="center"/>
        <w:spacing w:after="0"/>
        <w:rPr>
          <w:sz w:val="20"/>
          <w:szCs w:val="20"/>
          <w:color w:val="auto"/>
        </w:rPr>
      </w:pPr>
      <w:r>
        <w:rPr>
          <w:rFonts w:ascii="Times New Roman" w:cs="Times New Roman" w:eastAsia="Times New Roman" w:hAnsi="Times New Roman"/>
          <w:sz w:val="13"/>
          <w:szCs w:val="13"/>
          <w:b w:val="1"/>
          <w:bCs w:val="1"/>
          <w:color w:val="auto"/>
        </w:rPr>
        <w:t>(In millions,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2405380</wp:posOffset>
            </wp:positionH>
            <wp:positionV relativeFrom="paragraph">
              <wp:posOffset>173355</wp:posOffset>
            </wp:positionV>
            <wp:extent cx="473202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4732020" cy="8255"/>
                    </a:xfrm>
                    <a:prstGeom prst="rect">
                      <a:avLst/>
                    </a:prstGeom>
                    <a:noFill/>
                  </pic:spPr>
                </pic:pic>
              </a:graphicData>
            </a:graphic>
          </wp:anchor>
        </w:drawing>
      </w:r>
    </w:p>
    <w:p>
      <w:pPr>
        <w:spacing w:after="0" w:line="269" w:lineRule="exact"/>
        <w:rPr>
          <w:sz w:val="20"/>
          <w:szCs w:val="20"/>
          <w:color w:val="auto"/>
        </w:rPr>
      </w:pPr>
    </w:p>
    <w:tbl>
      <w:tblPr>
        <w:tblLayout w:type="fixed"/>
        <w:tblInd w:w="20" w:type="dxa"/>
        <w:tblCellMar>
          <w:top w:w="0" w:type="dxa"/>
          <w:left w:w="0" w:type="dxa"/>
          <w:bottom w:w="0" w:type="dxa"/>
          <w:right w:w="0" w:type="dxa"/>
        </w:tblCellMar>
      </w:tblPr>
      <w:tr>
        <w:trPr>
          <w:trHeight w:val="190"/>
        </w:trPr>
        <w:tc>
          <w:tcPr>
            <w:tcW w:w="37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340" w:type="dxa"/>
            <w:vAlign w:val="bottom"/>
            <w:gridSpan w:val="6"/>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8"/>
        </w:trPr>
        <w:tc>
          <w:tcPr>
            <w:tcW w:w="37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340" w:type="dxa"/>
            <w:vAlign w:val="bottom"/>
            <w:tcBorders>
              <w:bottom w:val="single" w:sz="8" w:color="auto"/>
            </w:tcBorders>
            <w:gridSpan w:val="6"/>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September 30, 2020</w:t>
            </w:r>
          </w:p>
        </w:tc>
        <w:tc>
          <w:tcPr>
            <w:tcW w:w="1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37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vMerge w:val="restart"/>
          </w:tcPr>
          <w:p>
            <w:pPr>
              <w:jc w:val="right"/>
              <w:ind w:right="148"/>
              <w:spacing w:after="0"/>
              <w:rPr>
                <w:sz w:val="20"/>
                <w:szCs w:val="20"/>
                <w:color w:val="auto"/>
              </w:rPr>
            </w:pPr>
            <w:r>
              <w:rPr>
                <w:rFonts w:ascii="Times New Roman" w:cs="Times New Roman" w:eastAsia="Times New Roman" w:hAnsi="Times New Roman"/>
                <w:sz w:val="14"/>
                <w:szCs w:val="14"/>
                <w:b w:val="1"/>
                <w:bCs w:val="1"/>
                <w:color w:val="auto"/>
              </w:rPr>
              <w:t>Subsea</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Technip Energies</w:t>
            </w:r>
          </w:p>
        </w:tc>
        <w:tc>
          <w:tcPr>
            <w:tcW w:w="100" w:type="dxa"/>
            <w:vAlign w:val="bottom"/>
            <w:vMerge w:val="restart"/>
          </w:tcPr>
          <w:p>
            <w:pPr>
              <w:spacing w:after="0"/>
              <w:rPr>
                <w:sz w:val="12"/>
                <w:szCs w:val="12"/>
                <w:color w:val="auto"/>
              </w:rPr>
            </w:pPr>
          </w:p>
        </w:tc>
        <w:tc>
          <w:tcPr>
            <w:tcW w:w="160" w:type="dxa"/>
            <w:vAlign w:val="bottom"/>
            <w:vMerge w:val="restart"/>
          </w:tcPr>
          <w:p>
            <w:pPr>
              <w:spacing w:after="0"/>
              <w:rPr>
                <w:sz w:val="12"/>
                <w:szCs w:val="12"/>
                <w:color w:val="auto"/>
              </w:rPr>
            </w:pPr>
          </w:p>
        </w:tc>
        <w:tc>
          <w:tcPr>
            <w:tcW w:w="920" w:type="dxa"/>
            <w:vAlign w:val="bottom"/>
          </w:tcPr>
          <w:p>
            <w:pPr>
              <w:jc w:val="right"/>
              <w:ind w:right="168"/>
              <w:spacing w:after="0" w:line="149" w:lineRule="exact"/>
              <w:rPr>
                <w:sz w:val="20"/>
                <w:szCs w:val="20"/>
                <w:color w:val="auto"/>
              </w:rPr>
            </w:pPr>
            <w:r>
              <w:rPr>
                <w:rFonts w:ascii="Times New Roman" w:cs="Times New Roman" w:eastAsia="Times New Roman" w:hAnsi="Times New Roman"/>
                <w:sz w:val="14"/>
                <w:szCs w:val="14"/>
                <w:b w:val="1"/>
                <w:bCs w:val="1"/>
                <w:color w:val="auto"/>
              </w:rPr>
              <w:t>Surface</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b w:val="1"/>
                <w:bCs w:val="1"/>
                <w:color w:val="auto"/>
              </w:rPr>
              <w:t>Corporate</w:t>
            </w:r>
          </w:p>
        </w:tc>
        <w:tc>
          <w:tcPr>
            <w:tcW w:w="100" w:type="dxa"/>
            <w:vAlign w:val="bottom"/>
          </w:tcPr>
          <w:p>
            <w:pPr>
              <w:spacing w:after="0"/>
              <w:rPr>
                <w:sz w:val="12"/>
                <w:szCs w:val="12"/>
                <w:color w:val="auto"/>
              </w:rPr>
            </w:pPr>
          </w:p>
        </w:tc>
        <w:tc>
          <w:tcPr>
            <w:tcW w:w="1100" w:type="dxa"/>
            <w:vAlign w:val="bottom"/>
            <w:gridSpan w:val="2"/>
          </w:tcPr>
          <w:p>
            <w:pPr>
              <w:ind w:left="200"/>
              <w:spacing w:after="0" w:line="149" w:lineRule="exact"/>
              <w:rPr>
                <w:sz w:val="20"/>
                <w:szCs w:val="20"/>
                <w:color w:val="auto"/>
              </w:rPr>
            </w:pPr>
            <w:r>
              <w:rPr>
                <w:rFonts w:ascii="Times New Roman" w:cs="Times New Roman" w:eastAsia="Times New Roman" w:hAnsi="Times New Roman"/>
                <w:sz w:val="14"/>
                <w:szCs w:val="14"/>
                <w:b w:val="1"/>
                <w:bCs w:val="1"/>
                <w:color w:val="auto"/>
              </w:rPr>
              <w:t>Foreign</w:t>
            </w:r>
          </w:p>
        </w:tc>
        <w:tc>
          <w:tcPr>
            <w:tcW w:w="260" w:type="dxa"/>
            <w:vAlign w:val="bottom"/>
          </w:tcPr>
          <w:p>
            <w:pPr>
              <w:spacing w:after="0"/>
              <w:rPr>
                <w:sz w:val="12"/>
                <w:szCs w:val="12"/>
                <w:color w:val="auto"/>
              </w:rPr>
            </w:pPr>
          </w:p>
        </w:tc>
        <w:tc>
          <w:tcPr>
            <w:tcW w:w="780" w:type="dxa"/>
            <w:vAlign w:val="bottom"/>
            <w:vMerge w:val="restart"/>
          </w:tcPr>
          <w:p>
            <w:pPr>
              <w:jc w:val="right"/>
              <w:ind w:right="228"/>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37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tcBorders>
              <w:bottom w:val="single" w:sz="8" w:color="auto"/>
            </w:tcBorders>
            <w:gridSpan w:val="3"/>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60" w:type="dxa"/>
            <w:vAlign w:val="bottom"/>
            <w:tcBorders>
              <w:bottom w:val="single" w:sz="8" w:color="auto"/>
            </w:tcBorders>
            <w:vMerge w:val="continue"/>
          </w:tcPr>
          <w:p>
            <w:pPr>
              <w:spacing w:after="0"/>
              <w:rPr>
                <w:sz w:val="16"/>
                <w:szCs w:val="16"/>
                <w:color w:val="auto"/>
              </w:rPr>
            </w:pPr>
          </w:p>
        </w:tc>
        <w:tc>
          <w:tcPr>
            <w:tcW w:w="920" w:type="dxa"/>
            <w:vAlign w:val="bottom"/>
            <w:tcBorders>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b w:val="1"/>
                <w:bCs w:val="1"/>
                <w:color w:val="auto"/>
              </w:rPr>
              <w:t>Technologies</w:t>
            </w:r>
          </w:p>
        </w:tc>
        <w:tc>
          <w:tcPr>
            <w:tcW w:w="1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208"/>
              <w:spacing w:after="0"/>
              <w:rPr>
                <w:sz w:val="20"/>
                <w:szCs w:val="20"/>
                <w:color w:val="auto"/>
              </w:rPr>
            </w:pPr>
            <w:r>
              <w:rPr>
                <w:rFonts w:ascii="Times New Roman" w:cs="Times New Roman" w:eastAsia="Times New Roman" w:hAnsi="Times New Roman"/>
                <w:sz w:val="14"/>
                <w:szCs w:val="14"/>
                <w:b w:val="1"/>
                <w:bCs w:val="1"/>
                <w:color w:val="auto"/>
              </w:rPr>
              <w:t>Expense</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Exchange, net</w:t>
            </w: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Revenue</w:t>
            </w: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4,133.4</w:t>
            </w: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4,694.2</w:t>
            </w:r>
          </w:p>
        </w:tc>
        <w:tc>
          <w:tcPr>
            <w:tcW w:w="42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796.9</w:t>
            </w:r>
          </w:p>
        </w:tc>
        <w:tc>
          <w:tcPr>
            <w:tcW w:w="40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9,624.5</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64"/>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Operating profit (loss), as reported (pre-tax)</w:t>
            </w: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(2,806.0)</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512.0</w:t>
            </w:r>
          </w:p>
        </w:tc>
        <w:tc>
          <w:tcPr>
            <w:tcW w:w="42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(444.4)</w:t>
            </w:r>
          </w:p>
        </w:tc>
        <w:tc>
          <w:tcPr>
            <w:tcW w:w="40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(125.7)</w:t>
            </w: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ind w:left="600"/>
              <w:spacing w:after="0"/>
              <w:rPr>
                <w:sz w:val="20"/>
                <w:szCs w:val="20"/>
                <w:color w:val="auto"/>
              </w:rPr>
            </w:pPr>
            <w:r>
              <w:rPr>
                <w:rFonts w:ascii="Times New Roman" w:cs="Times New Roman" w:eastAsia="Times New Roman" w:hAnsi="Times New Roman"/>
                <w:sz w:val="14"/>
                <w:szCs w:val="14"/>
                <w:color w:val="auto"/>
              </w:rPr>
              <w:t>(43.5)</w:t>
            </w:r>
          </w:p>
        </w:tc>
        <w:tc>
          <w:tcPr>
            <w:tcW w:w="120" w:type="dxa"/>
            <w:vAlign w:val="bottom"/>
          </w:tcPr>
          <w:p>
            <w:pPr>
              <w:spacing w:after="0"/>
              <w:rPr>
                <w:sz w:val="24"/>
                <w:szCs w:val="24"/>
                <w:color w:val="auto"/>
              </w:rPr>
            </w:pP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(2,907.6)</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4"/>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Charges and (credits):</w:t>
            </w: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376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Impairment and other charges</w:t>
            </w:r>
          </w:p>
        </w:tc>
        <w:tc>
          <w:tcPr>
            <w:tcW w:w="2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2,826.6</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5.7</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418.1</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3,253.0</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6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Restructuring and other charges*</w:t>
            </w:r>
          </w:p>
        </w:tc>
        <w:tc>
          <w:tcPr>
            <w:tcW w:w="2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36.1</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29.1</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14.0</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6.7</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85.9</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6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Direct COVID-19 expenses</w:t>
            </w:r>
          </w:p>
        </w:tc>
        <w:tc>
          <w:tcPr>
            <w:tcW w:w="2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50.1</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44.0</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7.7</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101.8</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6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Litigation settlement</w:t>
            </w:r>
          </w:p>
        </w:tc>
        <w:tc>
          <w:tcPr>
            <w:tcW w:w="2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(113.2)</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(113.2)</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6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Separation costs</w:t>
            </w:r>
          </w:p>
        </w:tc>
        <w:tc>
          <w:tcPr>
            <w:tcW w:w="2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27.1</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27.1</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376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Purchase price accounting adjustments</w:t>
            </w:r>
          </w:p>
        </w:tc>
        <w:tc>
          <w:tcPr>
            <w:tcW w:w="2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8.5</w:t>
            </w:r>
          </w:p>
        </w:tc>
        <w:tc>
          <w:tcPr>
            <w:tcW w:w="16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8.5</w:t>
            </w:r>
          </w:p>
        </w:tc>
        <w:tc>
          <w:tcPr>
            <w:tcW w:w="1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3760" w:type="dxa"/>
            <w:vAlign w:val="bottom"/>
          </w:tcPr>
          <w:p>
            <w:pPr>
              <w:ind w:left="440"/>
              <w:spacing w:after="0"/>
              <w:rPr>
                <w:sz w:val="20"/>
                <w:szCs w:val="20"/>
                <w:color w:val="auto"/>
              </w:rPr>
            </w:pPr>
            <w:r>
              <w:rPr>
                <w:rFonts w:ascii="Times New Roman" w:cs="Times New Roman" w:eastAsia="Times New Roman" w:hAnsi="Times New Roman"/>
                <w:sz w:val="14"/>
                <w:szCs w:val="14"/>
                <w:color w:val="auto"/>
              </w:rPr>
              <w:t>Subtotal</w:t>
            </w:r>
          </w:p>
        </w:tc>
        <w:tc>
          <w:tcPr>
            <w:tcW w:w="24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2,921.3</w:t>
            </w: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(34.4)</w:t>
            </w: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439.8</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36.4</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3,363.1</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2"/>
        </w:trPr>
        <w:tc>
          <w:tcPr>
            <w:tcW w:w="3760" w:type="dxa"/>
            <w:vAlign w:val="bottom"/>
            <w:vMerge w:val="restart"/>
          </w:tcPr>
          <w:p>
            <w:pPr>
              <w:spacing w:after="0"/>
              <w:rPr>
                <w:sz w:val="20"/>
                <w:szCs w:val="20"/>
                <w:color w:val="auto"/>
              </w:rPr>
            </w:pPr>
            <w:r>
              <w:rPr>
                <w:rFonts w:ascii="Times New Roman" w:cs="Times New Roman" w:eastAsia="Times New Roman" w:hAnsi="Times New Roman"/>
                <w:sz w:val="14"/>
                <w:szCs w:val="14"/>
                <w:color w:val="auto"/>
              </w:rPr>
              <w:t>Adjusted Operating profit (loss)</w:t>
            </w:r>
          </w:p>
        </w:tc>
        <w:tc>
          <w:tcPr>
            <w:tcW w:w="2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1"/>
        </w:trPr>
        <w:tc>
          <w:tcPr>
            <w:tcW w:w="3760" w:type="dxa"/>
            <w:vAlign w:val="bottom"/>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115.3</w:t>
            </w:r>
          </w:p>
        </w:tc>
        <w:tc>
          <w:tcPr>
            <w:tcW w:w="1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477.6</w:t>
            </w:r>
          </w:p>
        </w:tc>
        <w:tc>
          <w:tcPr>
            <w:tcW w:w="1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(4.6)</w:t>
            </w:r>
          </w:p>
        </w:tc>
        <w:tc>
          <w:tcPr>
            <w:tcW w:w="1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(89.3)</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ind w:left="600"/>
              <w:spacing w:after="0"/>
              <w:rPr>
                <w:sz w:val="20"/>
                <w:szCs w:val="20"/>
                <w:color w:val="auto"/>
              </w:rPr>
            </w:pPr>
            <w:r>
              <w:rPr>
                <w:rFonts w:ascii="Times New Roman" w:cs="Times New Roman" w:eastAsia="Times New Roman" w:hAnsi="Times New Roman"/>
                <w:sz w:val="14"/>
                <w:szCs w:val="14"/>
                <w:color w:val="auto"/>
              </w:rPr>
              <w:t>(43.5)</w:t>
            </w: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455.5</w:t>
            </w:r>
          </w:p>
        </w:tc>
        <w:tc>
          <w:tcPr>
            <w:tcW w:w="1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39"/>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Adjusted Depreciation and amortization</w:t>
            </w:r>
          </w:p>
        </w:tc>
        <w:tc>
          <w:tcPr>
            <w:tcW w:w="24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235.1</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26.6</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54.7</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10.6</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327.0</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376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Adjusted EBITDA</w:t>
            </w: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350.4</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504.2</w:t>
            </w:r>
          </w:p>
        </w:tc>
        <w:tc>
          <w:tcPr>
            <w:tcW w:w="42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50.1</w:t>
            </w:r>
          </w:p>
        </w:tc>
        <w:tc>
          <w:tcPr>
            <w:tcW w:w="40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(78.7)</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ind w:left="600"/>
              <w:spacing w:after="0"/>
              <w:rPr>
                <w:sz w:val="20"/>
                <w:szCs w:val="20"/>
                <w:color w:val="auto"/>
              </w:rPr>
            </w:pPr>
            <w:r>
              <w:rPr>
                <w:rFonts w:ascii="Times New Roman" w:cs="Times New Roman" w:eastAsia="Times New Roman" w:hAnsi="Times New Roman"/>
                <w:sz w:val="14"/>
                <w:szCs w:val="14"/>
                <w:color w:val="auto"/>
              </w:rPr>
              <w:t>(43.5)</w:t>
            </w:r>
          </w:p>
        </w:tc>
        <w:tc>
          <w:tcPr>
            <w:tcW w:w="120" w:type="dxa"/>
            <w:vAlign w:val="bottom"/>
          </w:tcPr>
          <w:p>
            <w:pPr>
              <w:spacing w:after="0"/>
              <w:rPr>
                <w:sz w:val="17"/>
                <w:szCs w:val="17"/>
                <w:color w:val="auto"/>
              </w:rPr>
            </w:pP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782.5</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7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gridSpan w:val="2"/>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21"/>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Operating profit margin, as reported</w:t>
            </w:r>
          </w:p>
        </w:tc>
        <w:tc>
          <w:tcPr>
            <w:tcW w:w="240" w:type="dxa"/>
            <w:vAlign w:val="bottom"/>
          </w:tcPr>
          <w:p>
            <w:pPr>
              <w:spacing w:after="0"/>
              <w:rPr>
                <w:sz w:val="24"/>
                <w:szCs w:val="24"/>
                <w:color w:val="auto"/>
              </w:rPr>
            </w:pP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-67.9 %</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10.9</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-55.8 %</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-30.2 %</w:t>
            </w:r>
          </w:p>
        </w:tc>
        <w:tc>
          <w:tcPr>
            <w:tcW w:w="0" w:type="dxa"/>
            <w:vAlign w:val="bottom"/>
          </w:tcPr>
          <w:p>
            <w:pPr>
              <w:spacing w:after="0"/>
              <w:rPr>
                <w:sz w:val="1"/>
                <w:szCs w:val="1"/>
                <w:color w:val="auto"/>
              </w:rPr>
            </w:pPr>
          </w:p>
        </w:tc>
      </w:tr>
      <w:tr>
        <w:trPr>
          <w:trHeight w:val="364"/>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Adjusted Operating profit margin</w:t>
            </w:r>
          </w:p>
        </w:tc>
        <w:tc>
          <w:tcPr>
            <w:tcW w:w="24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10.2</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-0.6 %</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4.7</w:t>
            </w: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0" w:type="dxa"/>
            <w:vAlign w:val="bottom"/>
          </w:tcPr>
          <w:p>
            <w:pPr>
              <w:spacing w:after="0"/>
              <w:rPr>
                <w:sz w:val="1"/>
                <w:szCs w:val="1"/>
                <w:color w:val="auto"/>
              </w:rPr>
            </w:pPr>
          </w:p>
        </w:tc>
      </w:tr>
      <w:tr>
        <w:trPr>
          <w:trHeight w:val="365"/>
        </w:trPr>
        <w:tc>
          <w:tcPr>
            <w:tcW w:w="3760" w:type="dxa"/>
            <w:vAlign w:val="bottom"/>
          </w:tcPr>
          <w:p>
            <w:pPr>
              <w:spacing w:after="0"/>
              <w:rPr>
                <w:sz w:val="20"/>
                <w:szCs w:val="20"/>
                <w:color w:val="auto"/>
              </w:rPr>
            </w:pPr>
            <w:r>
              <w:rPr>
                <w:rFonts w:ascii="Times New Roman" w:cs="Times New Roman" w:eastAsia="Times New Roman" w:hAnsi="Times New Roman"/>
                <w:sz w:val="14"/>
                <w:szCs w:val="14"/>
                <w:color w:val="auto"/>
              </w:rPr>
              <w:t>Adjusted EBITDA margin</w:t>
            </w:r>
          </w:p>
        </w:tc>
        <w:tc>
          <w:tcPr>
            <w:tcW w:w="24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8.5</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10.7</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6.3</w:t>
            </w:r>
          </w:p>
        </w:tc>
        <w:tc>
          <w:tcPr>
            <w:tcW w:w="14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8.1</w:t>
            </w: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0" w:type="dxa"/>
            <w:vAlign w:val="bottom"/>
          </w:tcPr>
          <w:p>
            <w:pPr>
              <w:spacing w:after="0"/>
              <w:rPr>
                <w:sz w:val="1"/>
                <w:szCs w:val="1"/>
                <w:color w:val="auto"/>
              </w:rPr>
            </w:pPr>
          </w:p>
        </w:tc>
      </w:tr>
    </w:tbl>
    <w:p>
      <w:pPr>
        <w:spacing w:after="0" w:line="95"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4"/>
          <w:szCs w:val="14"/>
          <w:color w:val="auto"/>
        </w:rPr>
        <w:t>*On December 30, 2019, we completed the acquisition of the remaining 50% of Technip Odebrecht PLSV CV. A $7.3 million gain recorded within restructuring and other charges in the Subsea segment during the nine months ended September 30,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2413635</wp:posOffset>
            </wp:positionH>
            <wp:positionV relativeFrom="paragraph">
              <wp:posOffset>65405</wp:posOffset>
            </wp:positionV>
            <wp:extent cx="472313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4723130" cy="8890"/>
                    </a:xfrm>
                    <a:prstGeom prst="rect">
                      <a:avLst/>
                    </a:prstGeom>
                    <a:noFill/>
                  </pic:spPr>
                </pic:pic>
              </a:graphicData>
            </a:graphic>
          </wp:anchor>
        </w:drawing>
      </w:r>
    </w:p>
    <w:p>
      <w:pPr>
        <w:spacing w:after="0" w:line="99" w:lineRule="exact"/>
        <w:rPr>
          <w:sz w:val="20"/>
          <w:szCs w:val="20"/>
          <w:color w:val="auto"/>
        </w:rPr>
      </w:pPr>
    </w:p>
    <w:tbl>
      <w:tblPr>
        <w:tblLayout w:type="fixed"/>
        <w:tblInd w:w="20" w:type="dxa"/>
        <w:tblCellMar>
          <w:top w:w="0" w:type="dxa"/>
          <w:left w:w="0" w:type="dxa"/>
          <w:bottom w:w="0" w:type="dxa"/>
          <w:right w:w="0" w:type="dxa"/>
        </w:tblCellMar>
      </w:tblPr>
      <w:tr>
        <w:trPr>
          <w:trHeight w:val="190"/>
        </w:trPr>
        <w:tc>
          <w:tcPr>
            <w:tcW w:w="37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340" w:type="dxa"/>
            <w:vAlign w:val="bottom"/>
            <w:gridSpan w:val="6"/>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8"/>
        </w:trPr>
        <w:tc>
          <w:tcPr>
            <w:tcW w:w="37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340" w:type="dxa"/>
            <w:vAlign w:val="bottom"/>
            <w:tcBorders>
              <w:bottom w:val="single" w:sz="8" w:color="auto"/>
            </w:tcBorders>
            <w:gridSpan w:val="6"/>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September 30, 2019</w:t>
            </w:r>
          </w:p>
        </w:tc>
        <w:tc>
          <w:tcPr>
            <w:tcW w:w="1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vMerge w:val="restart"/>
          </w:tcPr>
          <w:p>
            <w:pPr>
              <w:jc w:val="right"/>
              <w:ind w:right="128"/>
              <w:spacing w:after="0"/>
              <w:rPr>
                <w:sz w:val="20"/>
                <w:szCs w:val="20"/>
                <w:color w:val="auto"/>
              </w:rPr>
            </w:pPr>
            <w:r>
              <w:rPr>
                <w:rFonts w:ascii="Times New Roman" w:cs="Times New Roman" w:eastAsia="Times New Roman" w:hAnsi="Times New Roman"/>
                <w:sz w:val="14"/>
                <w:szCs w:val="14"/>
                <w:b w:val="1"/>
                <w:bCs w:val="1"/>
                <w:color w:val="auto"/>
              </w:rPr>
              <w:t>Subsea</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Technip Energies</w:t>
            </w:r>
          </w:p>
        </w:tc>
        <w:tc>
          <w:tcPr>
            <w:tcW w:w="100" w:type="dxa"/>
            <w:vAlign w:val="bottom"/>
            <w:vMerge w:val="restart"/>
          </w:tcPr>
          <w:p>
            <w:pPr>
              <w:spacing w:after="0"/>
              <w:rPr>
                <w:sz w:val="12"/>
                <w:szCs w:val="12"/>
                <w:color w:val="auto"/>
              </w:rPr>
            </w:pPr>
          </w:p>
        </w:tc>
        <w:tc>
          <w:tcPr>
            <w:tcW w:w="160" w:type="dxa"/>
            <w:vAlign w:val="bottom"/>
            <w:vMerge w:val="restart"/>
          </w:tcPr>
          <w:p>
            <w:pPr>
              <w:spacing w:after="0"/>
              <w:rPr>
                <w:sz w:val="12"/>
                <w:szCs w:val="12"/>
                <w:color w:val="auto"/>
              </w:rPr>
            </w:pPr>
          </w:p>
        </w:tc>
        <w:tc>
          <w:tcPr>
            <w:tcW w:w="900" w:type="dxa"/>
            <w:vAlign w:val="bottom"/>
          </w:tcPr>
          <w:p>
            <w:pPr>
              <w:jc w:val="right"/>
              <w:ind w:right="148"/>
              <w:spacing w:after="0" w:line="149" w:lineRule="exact"/>
              <w:rPr>
                <w:sz w:val="20"/>
                <w:szCs w:val="20"/>
                <w:color w:val="auto"/>
              </w:rPr>
            </w:pPr>
            <w:r>
              <w:rPr>
                <w:rFonts w:ascii="Times New Roman" w:cs="Times New Roman" w:eastAsia="Times New Roman" w:hAnsi="Times New Roman"/>
                <w:sz w:val="14"/>
                <w:szCs w:val="14"/>
                <w:b w:val="1"/>
                <w:bCs w:val="1"/>
                <w:color w:val="auto"/>
              </w:rPr>
              <w:t>Surface</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tcPr>
          <w:p>
            <w:pPr>
              <w:ind w:left="80"/>
              <w:spacing w:after="0" w:line="149" w:lineRule="exact"/>
              <w:rPr>
                <w:sz w:val="20"/>
                <w:szCs w:val="20"/>
                <w:color w:val="auto"/>
              </w:rPr>
            </w:pPr>
            <w:r>
              <w:rPr>
                <w:rFonts w:ascii="Times New Roman" w:cs="Times New Roman" w:eastAsia="Times New Roman" w:hAnsi="Times New Roman"/>
                <w:sz w:val="14"/>
                <w:szCs w:val="14"/>
                <w:b w:val="1"/>
                <w:bCs w:val="1"/>
                <w:color w:val="auto"/>
              </w:rPr>
              <w:t>Corporate</w:t>
            </w:r>
          </w:p>
        </w:tc>
        <w:tc>
          <w:tcPr>
            <w:tcW w:w="100" w:type="dxa"/>
            <w:vAlign w:val="bottom"/>
          </w:tcPr>
          <w:p>
            <w:pPr>
              <w:spacing w:after="0"/>
              <w:rPr>
                <w:sz w:val="12"/>
                <w:szCs w:val="12"/>
                <w:color w:val="auto"/>
              </w:rPr>
            </w:pPr>
          </w:p>
        </w:tc>
        <w:tc>
          <w:tcPr>
            <w:tcW w:w="1100" w:type="dxa"/>
            <w:vAlign w:val="bottom"/>
            <w:gridSpan w:val="2"/>
          </w:tcPr>
          <w:p>
            <w:pPr>
              <w:ind w:left="200"/>
              <w:spacing w:after="0" w:line="149" w:lineRule="exact"/>
              <w:rPr>
                <w:sz w:val="20"/>
                <w:szCs w:val="20"/>
                <w:color w:val="auto"/>
              </w:rPr>
            </w:pPr>
            <w:r>
              <w:rPr>
                <w:rFonts w:ascii="Times New Roman" w:cs="Times New Roman" w:eastAsia="Times New Roman" w:hAnsi="Times New Roman"/>
                <w:sz w:val="14"/>
                <w:szCs w:val="14"/>
                <w:b w:val="1"/>
                <w:bCs w:val="1"/>
                <w:color w:val="auto"/>
              </w:rPr>
              <w:t>Foreign</w:t>
            </w:r>
          </w:p>
        </w:tc>
        <w:tc>
          <w:tcPr>
            <w:tcW w:w="260" w:type="dxa"/>
            <w:vAlign w:val="bottom"/>
          </w:tcPr>
          <w:p>
            <w:pPr>
              <w:spacing w:after="0"/>
              <w:rPr>
                <w:sz w:val="12"/>
                <w:szCs w:val="12"/>
                <w:color w:val="auto"/>
              </w:rPr>
            </w:pPr>
          </w:p>
        </w:tc>
        <w:tc>
          <w:tcPr>
            <w:tcW w:w="760" w:type="dxa"/>
            <w:vAlign w:val="bottom"/>
            <w:vMerge w:val="restart"/>
          </w:tcPr>
          <w:p>
            <w:pPr>
              <w:jc w:val="right"/>
              <w:ind w:right="208"/>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37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tcBorders>
              <w:bottom w:val="single" w:sz="8" w:color="auto"/>
            </w:tcBorders>
            <w:gridSpan w:val="3"/>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60" w:type="dxa"/>
            <w:vAlign w:val="bottom"/>
            <w:tcBorders>
              <w:bottom w:val="single" w:sz="8" w:color="auto"/>
            </w:tcBorders>
            <w:vMerge w:val="continue"/>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Technologies</w:t>
            </w:r>
          </w:p>
        </w:tc>
        <w:tc>
          <w:tcPr>
            <w:tcW w:w="1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208"/>
              <w:spacing w:after="0"/>
              <w:rPr>
                <w:sz w:val="20"/>
                <w:szCs w:val="20"/>
                <w:color w:val="auto"/>
              </w:rPr>
            </w:pPr>
            <w:r>
              <w:rPr>
                <w:rFonts w:ascii="Times New Roman" w:cs="Times New Roman" w:eastAsia="Times New Roman" w:hAnsi="Times New Roman"/>
                <w:sz w:val="14"/>
                <w:szCs w:val="14"/>
                <w:b w:val="1"/>
                <w:bCs w:val="1"/>
                <w:color w:val="auto"/>
              </w:rPr>
              <w:t>Expense</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Exchange, net</w:t>
            </w: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Revenue</w:t>
            </w: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4,036.2</w:t>
            </w: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4,436.4</w:t>
            </w:r>
          </w:p>
        </w:tc>
        <w:tc>
          <w:tcPr>
            <w:tcW w:w="42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1,209.7</w:t>
            </w:r>
          </w:p>
        </w:tc>
        <w:tc>
          <w:tcPr>
            <w:tcW w:w="42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9,682.3</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51"/>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Operating profit (loss), as reported (pre-tax)</w:t>
            </w: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65.0</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714.3</w:t>
            </w:r>
          </w:p>
        </w:tc>
        <w:tc>
          <w:tcPr>
            <w:tcW w:w="42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42.1</w:t>
            </w:r>
          </w:p>
        </w:tc>
        <w:tc>
          <w:tcPr>
            <w:tcW w:w="42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(278.6)</w:t>
            </w: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ind w:left="600"/>
              <w:spacing w:after="0"/>
              <w:rPr>
                <w:sz w:val="20"/>
                <w:szCs w:val="20"/>
                <w:color w:val="auto"/>
              </w:rPr>
            </w:pPr>
            <w:r>
              <w:rPr>
                <w:rFonts w:ascii="Times New Roman" w:cs="Times New Roman" w:eastAsia="Times New Roman" w:hAnsi="Times New Roman"/>
                <w:sz w:val="14"/>
                <w:szCs w:val="14"/>
                <w:color w:val="auto"/>
              </w:rPr>
              <w:t>(82.8)</w:t>
            </w:r>
          </w:p>
        </w:tc>
        <w:tc>
          <w:tcPr>
            <w:tcW w:w="120" w:type="dxa"/>
            <w:vAlign w:val="bottom"/>
          </w:tcPr>
          <w:p>
            <w:pPr>
              <w:spacing w:after="0"/>
              <w:rPr>
                <w:sz w:val="24"/>
                <w:szCs w:val="24"/>
                <w:color w:val="auto"/>
              </w:rPr>
            </w:pP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460.0</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Charges and (credits):</w:t>
            </w: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Impairment and other charges</w:t>
            </w: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126.9</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0.6</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127.5</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Restructuring and other charges</w:t>
            </w: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11.1</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11.1</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13.5</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38.5</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Business combination transaction and integration costs</w:t>
            </w: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31.2</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31.2</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Separation costs</w:t>
            </w: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9.4</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9.4</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Reorganization</w:t>
            </w: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25.3</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25.3</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Legal provision, net</w:t>
            </w:r>
          </w:p>
        </w:tc>
        <w:tc>
          <w:tcPr>
            <w:tcW w:w="2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54.6</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54.6</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378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Purchase price accounting adjustments - amortization related</w:t>
            </w:r>
          </w:p>
        </w:tc>
        <w:tc>
          <w:tcPr>
            <w:tcW w:w="24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25.5</w:t>
            </w:r>
          </w:p>
        </w:tc>
        <w:tc>
          <w:tcPr>
            <w:tcW w:w="18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25.5</w:t>
            </w:r>
          </w:p>
        </w:tc>
        <w:tc>
          <w:tcPr>
            <w:tcW w:w="1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3780" w:type="dxa"/>
            <w:vAlign w:val="bottom"/>
          </w:tcPr>
          <w:p>
            <w:pPr>
              <w:ind w:left="440"/>
              <w:spacing w:after="0"/>
              <w:rPr>
                <w:sz w:val="20"/>
                <w:szCs w:val="20"/>
                <w:color w:val="auto"/>
              </w:rPr>
            </w:pPr>
            <w:r>
              <w:rPr>
                <w:rFonts w:ascii="Times New Roman" w:cs="Times New Roman" w:eastAsia="Times New Roman" w:hAnsi="Times New Roman"/>
                <w:sz w:val="14"/>
                <w:szCs w:val="14"/>
                <w:color w:val="auto"/>
              </w:rPr>
              <w:t>Subtotal</w:t>
            </w:r>
          </w:p>
        </w:tc>
        <w:tc>
          <w:tcPr>
            <w:tcW w:w="24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163.5</w:t>
            </w: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36.4</w:t>
            </w: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3.4</w:t>
            </w: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108.7</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312.0</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8"/>
        </w:trPr>
        <w:tc>
          <w:tcPr>
            <w:tcW w:w="3780" w:type="dxa"/>
            <w:vAlign w:val="bottom"/>
            <w:vMerge w:val="restart"/>
          </w:tcPr>
          <w:p>
            <w:pPr>
              <w:spacing w:after="0"/>
              <w:rPr>
                <w:sz w:val="20"/>
                <w:szCs w:val="20"/>
                <w:color w:val="auto"/>
              </w:rPr>
            </w:pPr>
            <w:r>
              <w:rPr>
                <w:rFonts w:ascii="Times New Roman" w:cs="Times New Roman" w:eastAsia="Times New Roman" w:hAnsi="Times New Roman"/>
                <w:sz w:val="14"/>
                <w:szCs w:val="14"/>
                <w:color w:val="auto"/>
              </w:rPr>
              <w:t>Adjusted Operating profit (loss)</w:t>
            </w:r>
          </w:p>
        </w:tc>
        <w:tc>
          <w:tcPr>
            <w:tcW w:w="24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91"/>
        </w:trPr>
        <w:tc>
          <w:tcPr>
            <w:tcW w:w="3780" w:type="dxa"/>
            <w:vAlign w:val="bottom"/>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228.5</w:t>
            </w:r>
          </w:p>
        </w:tc>
        <w:tc>
          <w:tcPr>
            <w:tcW w:w="1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750.7</w:t>
            </w:r>
          </w:p>
        </w:tc>
        <w:tc>
          <w:tcPr>
            <w:tcW w:w="1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45.5</w:t>
            </w:r>
          </w:p>
        </w:tc>
        <w:tc>
          <w:tcPr>
            <w:tcW w:w="1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(169.9)</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ind w:left="600"/>
              <w:spacing w:after="0"/>
              <w:rPr>
                <w:sz w:val="20"/>
                <w:szCs w:val="20"/>
                <w:color w:val="auto"/>
              </w:rPr>
            </w:pPr>
            <w:r>
              <w:rPr>
                <w:rFonts w:ascii="Times New Roman" w:cs="Times New Roman" w:eastAsia="Times New Roman" w:hAnsi="Times New Roman"/>
                <w:sz w:val="14"/>
                <w:szCs w:val="14"/>
                <w:color w:val="auto"/>
              </w:rPr>
              <w:t>(82.8)</w:t>
            </w: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772.0</w:t>
            </w:r>
          </w:p>
        </w:tc>
        <w:tc>
          <w:tcPr>
            <w:tcW w:w="1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26"/>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Adjusted Depreciation and amortization</w:t>
            </w:r>
          </w:p>
        </w:tc>
        <w:tc>
          <w:tcPr>
            <w:tcW w:w="24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236.6</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30.2</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75.7</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10.5</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353.0</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3780" w:type="dxa"/>
            <w:vAlign w:val="bottom"/>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Adjusted EBITDA</w:t>
            </w:r>
          </w:p>
        </w:tc>
        <w:tc>
          <w:tcPr>
            <w:tcW w:w="24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465.1</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780.9</w:t>
            </w:r>
          </w:p>
        </w:tc>
        <w:tc>
          <w:tcPr>
            <w:tcW w:w="42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121.2</w:t>
            </w:r>
          </w:p>
        </w:tc>
        <w:tc>
          <w:tcPr>
            <w:tcW w:w="420" w:type="dxa"/>
            <w:vAlign w:val="bottom"/>
            <w:gridSpan w:val="3"/>
          </w:tcPr>
          <w:p>
            <w:pPr>
              <w:jc w:val="right"/>
              <w:ind w:right="6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(159.4)</w:t>
            </w:r>
          </w:p>
        </w:tc>
        <w:tc>
          <w:tcPr>
            <w:tcW w:w="10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Pr>
          <w:p>
            <w:pPr>
              <w:ind w:left="600"/>
              <w:spacing w:after="0"/>
              <w:rPr>
                <w:sz w:val="20"/>
                <w:szCs w:val="20"/>
                <w:color w:val="auto"/>
              </w:rPr>
            </w:pPr>
            <w:r>
              <w:rPr>
                <w:rFonts w:ascii="Times New Roman" w:cs="Times New Roman" w:eastAsia="Times New Roman" w:hAnsi="Times New Roman"/>
                <w:sz w:val="14"/>
                <w:szCs w:val="14"/>
                <w:color w:val="auto"/>
              </w:rPr>
              <w:t>(82.8)</w:t>
            </w:r>
          </w:p>
        </w:tc>
        <w:tc>
          <w:tcPr>
            <w:tcW w:w="120" w:type="dxa"/>
            <w:vAlign w:val="bottom"/>
          </w:tcPr>
          <w:p>
            <w:pPr>
              <w:spacing w:after="0"/>
              <w:rPr>
                <w:sz w:val="17"/>
                <w:szCs w:val="17"/>
                <w:color w:val="auto"/>
              </w:rPr>
            </w:pP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1,125.0</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08"/>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Operating profit margin, as reported</w:t>
            </w:r>
          </w:p>
        </w:tc>
        <w:tc>
          <w:tcPr>
            <w:tcW w:w="24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16.1</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3.5</w:t>
            </w:r>
          </w:p>
        </w:tc>
        <w:tc>
          <w:tcPr>
            <w:tcW w:w="16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4.8</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351"/>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Adjusted Operating profit margin</w:t>
            </w:r>
          </w:p>
        </w:tc>
        <w:tc>
          <w:tcPr>
            <w:tcW w:w="24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5.7</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16.9</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3.8</w:t>
            </w:r>
          </w:p>
        </w:tc>
        <w:tc>
          <w:tcPr>
            <w:tcW w:w="16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8.0</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351"/>
        </w:trPr>
        <w:tc>
          <w:tcPr>
            <w:tcW w:w="3780" w:type="dxa"/>
            <w:vAlign w:val="bottom"/>
          </w:tcPr>
          <w:p>
            <w:pPr>
              <w:spacing w:after="0"/>
              <w:rPr>
                <w:sz w:val="20"/>
                <w:szCs w:val="20"/>
                <w:color w:val="auto"/>
              </w:rPr>
            </w:pPr>
            <w:r>
              <w:rPr>
                <w:rFonts w:ascii="Times New Roman" w:cs="Times New Roman" w:eastAsia="Times New Roman" w:hAnsi="Times New Roman"/>
                <w:sz w:val="14"/>
                <w:szCs w:val="14"/>
                <w:color w:val="auto"/>
              </w:rPr>
              <w:t>Adjusted EBITDA margin</w:t>
            </w:r>
          </w:p>
        </w:tc>
        <w:tc>
          <w:tcPr>
            <w:tcW w:w="24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11.5</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17.6</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10.0</w:t>
            </w:r>
          </w:p>
        </w:tc>
        <w:tc>
          <w:tcPr>
            <w:tcW w:w="16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11.6</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1051" w:right="339" w:bottom="1440" w:gutter="0" w:footer="0" w:header="0"/>
        </w:sectPr>
      </w:pPr>
    </w:p>
    <w:p>
      <w:pPr>
        <w:spacing w:after="0" w:line="200" w:lineRule="exact"/>
        <w:rPr>
          <w:sz w:val="20"/>
          <w:szCs w:val="20"/>
          <w:color w:val="auto"/>
        </w:rPr>
      </w:pPr>
    </w:p>
    <w:p>
      <w:pPr>
        <w:spacing w:after="0" w:line="283" w:lineRule="exact"/>
        <w:rPr>
          <w:sz w:val="20"/>
          <w:szCs w:val="20"/>
          <w:color w:val="auto"/>
        </w:rPr>
      </w:pPr>
    </w:p>
    <w:p>
      <w:pPr>
        <w:ind w:left="5040"/>
        <w:spacing w:after="0"/>
        <w:tabs>
          <w:tab w:leader="none" w:pos="1026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25 of 26</w:t>
      </w:r>
    </w:p>
    <w:p>
      <w:pPr>
        <w:sectPr>
          <w:pgSz w:w="11900" w:h="16838" w:orient="portrait"/>
          <w:cols w:equalWidth="0" w:num="1">
            <w:col w:w="11240"/>
          </w:cols>
          <w:pgMar w:left="320" w:top="1051" w:right="339" w:bottom="1440" w:gutter="0" w:footer="0" w:header="0"/>
          <w:type w:val="continuous"/>
        </w:sectPr>
      </w:pPr>
    </w:p>
    <w:bookmarkStart w:id="29" w:name="page30"/>
    <w:bookmarkEnd w:id="29"/>
    <w:p>
      <w:pPr>
        <w:jc w:val="right"/>
        <w:spacing w:after="0"/>
        <w:rPr>
          <w:sz w:val="20"/>
          <w:szCs w:val="20"/>
          <w:color w:val="auto"/>
        </w:rPr>
      </w:pPr>
      <w:r>
        <w:rPr>
          <w:rFonts w:ascii="Times New Roman" w:cs="Times New Roman" w:eastAsia="Times New Roman" w:hAnsi="Times New Roman"/>
          <w:sz w:val="13"/>
          <w:szCs w:val="13"/>
          <w:b w:val="1"/>
          <w:bCs w:val="1"/>
          <w:color w:val="auto"/>
        </w:rPr>
        <w:t>Exhibit 12</w:t>
      </w:r>
    </w:p>
    <w:p>
      <w:pPr>
        <w:spacing w:after="0" w:line="159" w:lineRule="exact"/>
        <w:rPr>
          <w:sz w:val="20"/>
          <w:szCs w:val="20"/>
          <w:color w:val="auto"/>
        </w:rPr>
      </w:pPr>
    </w:p>
    <w:p>
      <w:pPr>
        <w:jc w:val="center"/>
        <w:spacing w:after="0" w:line="268" w:lineRule="auto"/>
        <w:rPr>
          <w:sz w:val="20"/>
          <w:szCs w:val="20"/>
          <w:color w:val="auto"/>
        </w:rPr>
      </w:pPr>
      <w:r>
        <w:rPr>
          <w:rFonts w:ascii="Times New Roman" w:cs="Times New Roman" w:eastAsia="Times New Roman" w:hAnsi="Times New Roman"/>
          <w:sz w:val="18"/>
          <w:szCs w:val="18"/>
          <w:b w:val="1"/>
          <w:bCs w:val="1"/>
          <w:u w:val="single" w:color="auto"/>
          <w:color w:val="auto"/>
        </w:rPr>
        <w:t xml:space="preserve">TECHNIPFMC PLC AND CONSOLIDATED SUBSIDIARIES RECONCILIATION OF GAAP TO NON-GAAP FINANCIAL MEASURES </w:t>
      </w:r>
      <w:r>
        <w:rPr>
          <w:rFonts w:ascii="Times New Roman" w:cs="Times New Roman" w:eastAsia="Times New Roman" w:hAnsi="Times New Roman"/>
          <w:sz w:val="18"/>
          <w:szCs w:val="18"/>
          <w:b w:val="1"/>
          <w:bCs w:val="1"/>
          <w:color w:val="auto"/>
        </w:rPr>
        <w:t>(In millions, unaudited)</w:t>
      </w:r>
    </w:p>
    <w:p>
      <w:pPr>
        <w:spacing w:after="0" w:line="366" w:lineRule="exact"/>
        <w:rPr>
          <w:sz w:val="20"/>
          <w:szCs w:val="20"/>
          <w:color w:val="auto"/>
        </w:rPr>
      </w:pPr>
    </w:p>
    <w:tbl>
      <w:tblPr>
        <w:tblLayout w:type="fixed"/>
        <w:tblInd w:w="20" w:type="dxa"/>
        <w:tblCellMar>
          <w:top w:w="0" w:type="dxa"/>
          <w:left w:w="0" w:type="dxa"/>
          <w:bottom w:w="0" w:type="dxa"/>
          <w:right w:w="0" w:type="dxa"/>
        </w:tblCellMar>
      </w:tblPr>
      <w:tr>
        <w:trPr>
          <w:trHeight w:val="203"/>
        </w:trPr>
        <w:tc>
          <w:tcPr>
            <w:tcW w:w="5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0" w:type="dxa"/>
            <w:vAlign w:val="bottom"/>
            <w:gridSpan w:val="2"/>
          </w:tcPr>
          <w:p>
            <w:pPr>
              <w:ind w:left="60"/>
              <w:spacing w:after="0"/>
              <w:rPr>
                <w:sz w:val="20"/>
                <w:szCs w:val="20"/>
                <w:color w:val="auto"/>
              </w:rPr>
            </w:pPr>
            <w:r>
              <w:rPr>
                <w:rFonts w:ascii="Times New Roman" w:cs="Times New Roman" w:eastAsia="Times New Roman" w:hAnsi="Times New Roman"/>
                <w:sz w:val="16"/>
                <w:szCs w:val="16"/>
                <w:b w:val="1"/>
                <w:bCs w:val="1"/>
                <w:color w:val="auto"/>
              </w:rPr>
              <w:t>September 30,</w:t>
            </w:r>
          </w:p>
        </w:tc>
        <w:tc>
          <w:tcPr>
            <w:tcW w:w="260" w:type="dxa"/>
            <w:vAlign w:val="bottom"/>
          </w:tcPr>
          <w:p>
            <w:pPr>
              <w:spacing w:after="0"/>
              <w:rPr>
                <w:sz w:val="17"/>
                <w:szCs w:val="17"/>
                <w:color w:val="auto"/>
              </w:rPr>
            </w:pPr>
          </w:p>
        </w:tc>
        <w:tc>
          <w:tcPr>
            <w:tcW w:w="1280" w:type="dxa"/>
            <w:vAlign w:val="bottom"/>
            <w:gridSpan w:val="2"/>
          </w:tcPr>
          <w:p>
            <w:pPr>
              <w:ind w:left="160"/>
              <w:spacing w:after="0"/>
              <w:rPr>
                <w:sz w:val="20"/>
                <w:szCs w:val="20"/>
                <w:color w:val="auto"/>
              </w:rPr>
            </w:pPr>
            <w:r>
              <w:rPr>
                <w:rFonts w:ascii="Times New Roman" w:cs="Times New Roman" w:eastAsia="Times New Roman" w:hAnsi="Times New Roman"/>
                <w:sz w:val="16"/>
                <w:szCs w:val="16"/>
                <w:b w:val="1"/>
                <w:bCs w:val="1"/>
                <w:color w:val="auto"/>
              </w:rPr>
              <w:t>June 30,</w:t>
            </w:r>
          </w:p>
        </w:tc>
        <w:tc>
          <w:tcPr>
            <w:tcW w:w="240" w:type="dxa"/>
            <w:vAlign w:val="bottom"/>
          </w:tcPr>
          <w:p>
            <w:pPr>
              <w:spacing w:after="0"/>
              <w:rPr>
                <w:sz w:val="17"/>
                <w:szCs w:val="17"/>
                <w:color w:val="auto"/>
              </w:rPr>
            </w:pPr>
          </w:p>
        </w:tc>
        <w:tc>
          <w:tcPr>
            <w:tcW w:w="1320" w:type="dxa"/>
            <w:vAlign w:val="bottom"/>
            <w:gridSpan w:val="2"/>
          </w:tcPr>
          <w:p>
            <w:pPr>
              <w:ind w:left="140"/>
              <w:spacing w:after="0"/>
              <w:rPr>
                <w:sz w:val="20"/>
                <w:szCs w:val="20"/>
                <w:color w:val="auto"/>
              </w:rPr>
            </w:pPr>
            <w:r>
              <w:rPr>
                <w:rFonts w:ascii="Times New Roman" w:cs="Times New Roman" w:eastAsia="Times New Roman" w:hAnsi="Times New Roman"/>
                <w:sz w:val="16"/>
                <w:szCs w:val="16"/>
                <w:b w:val="1"/>
                <w:bCs w:val="1"/>
                <w:color w:val="auto"/>
              </w:rPr>
              <w:t>March 31,</w:t>
            </w:r>
          </w:p>
        </w:tc>
        <w:tc>
          <w:tcPr>
            <w:tcW w:w="180" w:type="dxa"/>
            <w:vAlign w:val="bottom"/>
          </w:tcPr>
          <w:p>
            <w:pPr>
              <w:spacing w:after="0"/>
              <w:rPr>
                <w:sz w:val="17"/>
                <w:szCs w:val="17"/>
                <w:color w:val="auto"/>
              </w:rPr>
            </w:pPr>
          </w:p>
        </w:tc>
        <w:tc>
          <w:tcPr>
            <w:tcW w:w="1260" w:type="dxa"/>
            <w:vAlign w:val="bottom"/>
          </w:tcPr>
          <w:p>
            <w:pPr>
              <w:jc w:val="right"/>
              <w:ind w:right="153"/>
              <w:spacing w:after="0"/>
              <w:rPr>
                <w:sz w:val="20"/>
                <w:szCs w:val="20"/>
                <w:color w:val="auto"/>
              </w:rPr>
            </w:pPr>
            <w:r>
              <w:rPr>
                <w:rFonts w:ascii="Times New Roman" w:cs="Times New Roman" w:eastAsia="Times New Roman" w:hAnsi="Times New Roman"/>
                <w:sz w:val="16"/>
                <w:szCs w:val="16"/>
                <w:b w:val="1"/>
                <w:bCs w:val="1"/>
                <w:color w:val="auto"/>
              </w:rPr>
              <w:t>December 31,</w:t>
            </w:r>
          </w:p>
        </w:tc>
      </w:tr>
      <w:tr>
        <w:trPr>
          <w:trHeight w:val="212"/>
        </w:trPr>
        <w:tc>
          <w:tcPr>
            <w:tcW w:w="5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tcPr>
          <w:p>
            <w:pPr>
              <w:jc w:val="right"/>
              <w:ind w:right="473"/>
              <w:spacing w:after="0"/>
              <w:rPr>
                <w:sz w:val="20"/>
                <w:szCs w:val="20"/>
                <w:color w:val="auto"/>
              </w:rPr>
            </w:pPr>
            <w:r>
              <w:rPr>
                <w:rFonts w:ascii="Times New Roman" w:cs="Times New Roman" w:eastAsia="Times New Roman" w:hAnsi="Times New Roman"/>
                <w:sz w:val="16"/>
                <w:szCs w:val="16"/>
                <w:b w:val="1"/>
                <w:bCs w:val="1"/>
                <w:color w:val="auto"/>
              </w:rPr>
              <w:t>2020</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80" w:type="dxa"/>
            <w:vAlign w:val="bottom"/>
          </w:tcPr>
          <w:p>
            <w:pPr>
              <w:jc w:val="right"/>
              <w:ind w:right="473"/>
              <w:spacing w:after="0"/>
              <w:rPr>
                <w:sz w:val="20"/>
                <w:szCs w:val="20"/>
                <w:color w:val="auto"/>
              </w:rPr>
            </w:pPr>
            <w:r>
              <w:rPr>
                <w:rFonts w:ascii="Times New Roman" w:cs="Times New Roman" w:eastAsia="Times New Roman" w:hAnsi="Times New Roman"/>
                <w:sz w:val="16"/>
                <w:szCs w:val="16"/>
                <w:b w:val="1"/>
                <w:bCs w:val="1"/>
                <w:color w:val="auto"/>
              </w:rPr>
              <w:t>2020</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tcPr>
          <w:p>
            <w:pPr>
              <w:jc w:val="right"/>
              <w:ind w:right="473"/>
              <w:spacing w:after="0"/>
              <w:rPr>
                <w:sz w:val="20"/>
                <w:szCs w:val="20"/>
                <w:color w:val="auto"/>
              </w:rPr>
            </w:pPr>
            <w:r>
              <w:rPr>
                <w:rFonts w:ascii="Times New Roman" w:cs="Times New Roman" w:eastAsia="Times New Roman" w:hAnsi="Times New Roman"/>
                <w:sz w:val="16"/>
                <w:szCs w:val="16"/>
                <w:b w:val="1"/>
                <w:bCs w:val="1"/>
                <w:color w:val="auto"/>
              </w:rPr>
              <w:t>2020</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tcPr>
          <w:p>
            <w:pPr>
              <w:jc w:val="right"/>
              <w:ind w:right="473"/>
              <w:spacing w:after="0"/>
              <w:rPr>
                <w:sz w:val="20"/>
                <w:szCs w:val="20"/>
                <w:color w:val="auto"/>
              </w:rPr>
            </w:pPr>
            <w:r>
              <w:rPr>
                <w:rFonts w:ascii="Times New Roman" w:cs="Times New Roman" w:eastAsia="Times New Roman" w:hAnsi="Times New Roman"/>
                <w:sz w:val="16"/>
                <w:szCs w:val="16"/>
                <w:b w:val="1"/>
                <w:bCs w:val="1"/>
                <w:color w:val="auto"/>
              </w:rPr>
              <w:t>2019</w:t>
            </w:r>
          </w:p>
        </w:tc>
      </w:tr>
      <w:tr>
        <w:trPr>
          <w:trHeight w:val="33"/>
        </w:trPr>
        <w:tc>
          <w:tcPr>
            <w:tcW w:w="5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4,244.0</w:t>
            </w:r>
          </w:p>
        </w:tc>
        <w:tc>
          <w:tcPr>
            <w:tcW w:w="120" w:type="dxa"/>
            <w:vAlign w:val="bottom"/>
          </w:tcPr>
          <w:p>
            <w:pPr>
              <w:spacing w:after="0"/>
              <w:rPr>
                <w:sz w:val="20"/>
                <w:szCs w:val="20"/>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4,809.5</w:t>
            </w:r>
          </w:p>
        </w:tc>
        <w:tc>
          <w:tcPr>
            <w:tcW w:w="10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4,999.4</w:t>
            </w:r>
          </w:p>
        </w:tc>
        <w:tc>
          <w:tcPr>
            <w:tcW w:w="12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5,190.2</w:t>
            </w:r>
          </w:p>
        </w:tc>
      </w:tr>
      <w:tr>
        <w:trPr>
          <w:trHeight w:val="270"/>
        </w:trPr>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Short-term debt and current portion of long-term debt</w:t>
            </w:r>
          </w:p>
        </w:tc>
        <w:tc>
          <w:tcPr>
            <w:tcW w:w="16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(612.2)</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(524.1)</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(586.7)</w:t>
            </w: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(495.4)</w:t>
            </w:r>
          </w:p>
        </w:tc>
      </w:tr>
      <w:tr>
        <w:trPr>
          <w:trHeight w:val="270"/>
        </w:trPr>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Long-term debt, less current portion</w:t>
            </w:r>
          </w:p>
        </w:tc>
        <w:tc>
          <w:tcPr>
            <w:tcW w:w="16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(3,248.0)</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(3,982.9)</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(3,823.9)</w:t>
            </w: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(3,980.0)</w:t>
            </w:r>
          </w:p>
        </w:tc>
      </w:tr>
      <w:tr>
        <w:trPr>
          <w:trHeight w:val="27"/>
        </w:trPr>
        <w:tc>
          <w:tcPr>
            <w:tcW w:w="5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63"/>
        </w:trPr>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Net cash</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383.8</w:t>
            </w:r>
          </w:p>
        </w:tc>
        <w:tc>
          <w:tcPr>
            <w:tcW w:w="120" w:type="dxa"/>
            <w:vAlign w:val="bottom"/>
          </w:tcPr>
          <w:p>
            <w:pPr>
              <w:spacing w:after="0"/>
              <w:rPr>
                <w:sz w:val="22"/>
                <w:szCs w:val="22"/>
                <w:color w:val="auto"/>
              </w:rPr>
            </w:pPr>
          </w:p>
        </w:tc>
        <w:tc>
          <w:tcPr>
            <w:tcW w:w="2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bottom w:val="single" w:sz="8" w:color="auto"/>
            </w:tcBorders>
          </w:tcPr>
          <w:p>
            <w:pPr>
              <w:jc w:val="right"/>
              <w:ind w:right="13"/>
              <w:spacing w:after="0"/>
              <w:rPr>
                <w:sz w:val="20"/>
                <w:szCs w:val="20"/>
                <w:color w:val="auto"/>
              </w:rPr>
            </w:pPr>
            <w:r>
              <w:rPr>
                <w:rFonts w:ascii="Times New Roman" w:cs="Times New Roman" w:eastAsia="Times New Roman" w:hAnsi="Times New Roman"/>
                <w:sz w:val="18"/>
                <w:szCs w:val="18"/>
                <w:color w:val="auto"/>
              </w:rPr>
              <w:t>302.5</w:t>
            </w:r>
          </w:p>
        </w:tc>
        <w:tc>
          <w:tcPr>
            <w:tcW w:w="100" w:type="dxa"/>
            <w:vAlign w:val="bottom"/>
          </w:tcPr>
          <w:p>
            <w:pPr>
              <w:spacing w:after="0"/>
              <w:rPr>
                <w:sz w:val="22"/>
                <w:szCs w:val="22"/>
                <w:color w:val="auto"/>
              </w:rPr>
            </w:pPr>
          </w:p>
        </w:tc>
        <w:tc>
          <w:tcPr>
            <w:tcW w:w="2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588.8</w:t>
            </w:r>
          </w:p>
        </w:tc>
        <w:tc>
          <w:tcPr>
            <w:tcW w:w="120" w:type="dxa"/>
            <w:vAlign w:val="bottom"/>
          </w:tcPr>
          <w:p>
            <w:pPr>
              <w:spacing w:after="0"/>
              <w:rPr>
                <w:sz w:val="22"/>
                <w:szCs w:val="22"/>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714.8</w:t>
            </w:r>
          </w:p>
        </w:tc>
      </w:tr>
      <w:tr>
        <w:trPr>
          <w:trHeight w:val="21"/>
        </w:trPr>
        <w:tc>
          <w:tcPr>
            <w:tcW w:w="5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33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Net (debt) cash, is a non-GAAP financial measure reflecting cash and cash equivalents, net of debt. Management uses this non-GAAP financial measure to evaluate our capital structure and financial leverage. We believe net debt, or net cash, is a meaningful financial measure that may assist investors in understanding our financial condition and recognizing underlying trends in our capital structure. Net (debt) cash should not be considered an alternative to, or more meaningful than, cash and cash equivalents as determined in accordance with U.S. GAAP or as an indicator of our operating performance or liquidity.</w:t>
      </w:r>
    </w:p>
    <w:p>
      <w:pPr>
        <w:spacing w:after="0" w:line="200" w:lineRule="exact"/>
        <w:rPr>
          <w:sz w:val="20"/>
          <w:szCs w:val="20"/>
          <w:color w:val="auto"/>
        </w:rPr>
      </w:pPr>
    </w:p>
    <w:p>
      <w:pPr>
        <w:spacing w:after="0" w:line="351" w:lineRule="exact"/>
        <w:rPr>
          <w:sz w:val="20"/>
          <w:szCs w:val="20"/>
          <w:color w:val="auto"/>
        </w:rPr>
      </w:pPr>
    </w:p>
    <w:p>
      <w:pPr>
        <w:ind w:left="5040"/>
        <w:spacing w:after="0"/>
        <w:tabs>
          <w:tab w:leader="none" w:pos="10260" w:val="left"/>
        </w:tabs>
        <w:rPr>
          <w:sz w:val="20"/>
          <w:szCs w:val="20"/>
          <w:color w:val="auto"/>
        </w:rPr>
      </w:pPr>
      <w:r>
        <w:rPr>
          <w:rFonts w:ascii="Arial" w:cs="Arial" w:eastAsia="Arial" w:hAnsi="Arial"/>
          <w:sz w:val="14"/>
          <w:szCs w:val="14"/>
          <w:b w:val="1"/>
          <w:bCs w:val="1"/>
          <w:color w:val="auto"/>
        </w:rPr>
        <w:t>TechnipFMC.com</w:t>
      </w:r>
      <w:r>
        <w:rPr>
          <w:sz w:val="20"/>
          <w:szCs w:val="20"/>
          <w:color w:val="auto"/>
        </w:rPr>
        <w:tab/>
      </w:r>
      <w:r>
        <w:rPr>
          <w:rFonts w:ascii="Arial" w:cs="Arial" w:eastAsia="Arial" w:hAnsi="Arial"/>
          <w:sz w:val="14"/>
          <w:szCs w:val="14"/>
          <w:b w:val="1"/>
          <w:bCs w:val="1"/>
          <w:color w:val="auto"/>
        </w:rPr>
        <w:t>Page 26 of 26</w:t>
      </w:r>
    </w:p>
    <w:sectPr>
      <w:pgSz w:w="11900" w:h="16838" w:orient="portrait"/>
      <w:cols w:equalWidth="0" w:num="1">
        <w:col w:w="11240"/>
      </w:cols>
      <w:pgMar w:left="320" w:top="105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BD062C2"/>
    <w:multiLevelType w:val="hybridMultilevel"/>
    <w:lvl w:ilvl="0">
      <w:lvlJc w:val="left"/>
      <w:lvlText w:val="☐"/>
      <w:numFmt w:val="bullet"/>
      <w:start w:val="1"/>
    </w:lvl>
  </w:abstractNum>
  <w:abstractNum w:abstractNumId="1">
    <w:nsid w:val="12200854"/>
    <w:multiLevelType w:val="hybridMultilevel"/>
    <w:lvl w:ilvl="0">
      <w:lvlJc w:val="left"/>
      <w:lvlText w:val="•"/>
      <w:numFmt w:val="bullet"/>
      <w:start w:val="1"/>
    </w:lvl>
    <w:lvl w:ilvl="1">
      <w:lvlJc w:val="left"/>
      <w:lvlText w:val="•"/>
      <w:numFmt w:val="bullet"/>
      <w:start w:val="1"/>
    </w:lvl>
  </w:abstractNum>
  <w:abstractNum w:abstractNumId="2">
    <w:nsid w:val="4DB127F8"/>
    <w:multiLevelType w:val="hybridMultilevel"/>
    <w:lvl w:ilvl="0">
      <w:lvlJc w:val="left"/>
      <w:lvlText w:val="•"/>
      <w:numFmt w:val="bullet"/>
      <w:start w:val="1"/>
    </w:lvl>
  </w:abstractNum>
  <w:abstractNum w:abstractNumId="3">
    <w:nsid w:val="216231B"/>
    <w:multiLevelType w:val="hybridMultilevel"/>
    <w:lvl w:ilvl="0">
      <w:lvlJc w:val="left"/>
      <w:lvlText w:val="•"/>
      <w:numFmt w:val="bullet"/>
      <w:start w:val="1"/>
    </w:lvl>
  </w:abstractNum>
  <w:abstractNum w:abstractNumId="4">
    <w:nsid w:val="1F16E9E8"/>
    <w:multiLevelType w:val="hybridMultilevel"/>
    <w:lvl w:ilvl="0">
      <w:lvlJc w:val="left"/>
      <w:lvlText w:val="1"/>
      <w:numFmt w:val="bullet"/>
      <w:start w:val="1"/>
    </w:lvl>
  </w:abstractNum>
  <w:abstractNum w:abstractNumId="5">
    <w:nsid w:val="1190CDE7"/>
    <w:multiLevelType w:val="hybridMultilevel"/>
    <w:lvl w:ilvl="0">
      <w:lvlJc w:val="left"/>
      <w:lvlText w:val="3"/>
      <w:numFmt w:val="bullet"/>
      <w:start w:val="1"/>
    </w:lvl>
  </w:abstractNum>
  <w:abstractNum w:abstractNumId="6">
    <w:nsid w:val="66EF438D"/>
    <w:multiLevelType w:val="hybridMultilevel"/>
    <w:lvl w:ilvl="0">
      <w:lvlJc w:val="left"/>
      <w:lvlText w:val="•"/>
      <w:numFmt w:val="bullet"/>
      <w:start w:val="1"/>
    </w:lvl>
  </w:abstractNum>
  <w:abstractNum w:abstractNumId="7">
    <w:nsid w:val="140E0F76"/>
    <w:multiLevelType w:val="hybridMultilevel"/>
    <w:lvl w:ilvl="0">
      <w:lvlJc w:val="left"/>
      <w:lvlText w:val="•"/>
      <w:numFmt w:val="bullet"/>
      <w:start w:val="1"/>
    </w:lvl>
  </w:abstractNum>
  <w:abstractNum w:abstractNumId="8">
    <w:nsid w:val="3352255A"/>
    <w:multiLevelType w:val="hybridMultilevel"/>
    <w:lvl w:ilvl="0">
      <w:lvlJc w:val="left"/>
      <w:lvlText w:val="•"/>
      <w:numFmt w:val="bullet"/>
      <w:start w:val="1"/>
    </w:lvl>
  </w:abstractNum>
  <w:abstractNum w:abstractNumId="9">
    <w:nsid w:val="109CF92E"/>
    <w:multiLevelType w:val="hybridMultilevel"/>
    <w:lvl w:ilvl="0">
      <w:lvlJc w:val="left"/>
      <w:lvlText w:val="1"/>
      <w:numFmt w:val="bullet"/>
      <w:start w:val="1"/>
    </w:lvl>
  </w:abstractNum>
  <w:abstractNum w:abstractNumId="10">
    <w:nsid w:val="DED7263"/>
    <w:multiLevelType w:val="hybridMultilevel"/>
    <w:lvl w:ilvl="0">
      <w:lvlJc w:val="left"/>
      <w:lvlText w:val="2"/>
      <w:numFmt w:val="bullet"/>
      <w:start w:val="1"/>
    </w:lvl>
  </w:abstractNum>
  <w:abstractNum w:abstractNumId="11">
    <w:nsid w:val="7FDCC233"/>
    <w:multiLevelType w:val="hybridMultilevel"/>
    <w:lvl w:ilvl="0">
      <w:lvlJc w:val="left"/>
      <w:lvlText w:val="•"/>
      <w:numFmt w:val="bullet"/>
      <w:start w:val="1"/>
    </w:lvl>
  </w:abstractNum>
  <w:abstractNum w:abstractNumId="12">
    <w:nsid w:val="1BEFD79F"/>
    <w:multiLevelType w:val="hybridMultilevel"/>
    <w:lvl w:ilvl="0">
      <w:lvlJc w:val="left"/>
      <w:lvlText w:val="1"/>
      <w:numFmt w:val="bullet"/>
      <w:start w:val="1"/>
    </w:lvl>
  </w:abstractNum>
  <w:abstractNum w:abstractNumId="13">
    <w:nsid w:val="41A7C4C9"/>
    <w:multiLevelType w:val="hybridMultilevel"/>
    <w:lvl w:ilvl="0">
      <w:lvlJc w:val="left"/>
      <w:lvlText w:val="•"/>
      <w:numFmt w:val="bullet"/>
      <w:start w:val="1"/>
    </w:lvl>
  </w:abstractNum>
  <w:abstractNum w:abstractNumId="14">
    <w:nsid w:val="6B68079A"/>
    <w:multiLevelType w:val="hybridMultilevel"/>
    <w:lvl w:ilvl="0">
      <w:lvlJc w:val="left"/>
      <w:lvlText w:val="•"/>
      <w:numFmt w:val="bullet"/>
      <w:start w:val="1"/>
    </w:lvl>
  </w:abstractNum>
  <w:abstractNum w:abstractNumId="15">
    <w:nsid w:val="4E6AFB66"/>
    <w:multiLevelType w:val="hybridMultilevel"/>
    <w:lvl w:ilvl="0">
      <w:lvlJc w:val="left"/>
      <w:lvlText w:val="(%1)"/>
      <w:numFmt w:val="decimal"/>
      <w:start w:val="1"/>
    </w:lvl>
  </w:abstractNum>
  <w:abstractNum w:abstractNumId="16">
    <w:nsid w:val="25E45D3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2020-10-21T15:05:38Z</dcterms:created>
  <dcterms:modified xsi:type="dcterms:W3CDTF">2020-10-21T15:05:38Z</dcterms:modified>
</cp:coreProperties>
</file>