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0"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8"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4"/>
        </w:trPr>
        <w:tc>
          <w:tcPr>
            <w:tcW w:w="6560" w:type="dxa"/>
            <w:vAlign w:val="bottom"/>
          </w:tcPr>
          <w:p>
            <w:pPr>
              <w:jc w:val="center"/>
              <w:ind w:right="173"/>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60" w:type="dxa"/>
            <w:vAlign w:val="bottom"/>
            <w:vMerge w:val="restart"/>
          </w:tcPr>
          <w:p>
            <w:pPr>
              <w:jc w:val="center"/>
              <w:ind w:right="173"/>
              <w:spacing w:after="0" w:line="142"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20"/>
        </w:trPr>
        <w:tc>
          <w:tcPr>
            <w:tcW w:w="6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60" w:type="dxa"/>
            <w:vAlign w:val="bottom"/>
            <w:vMerge w:val="restart"/>
          </w:tcPr>
          <w:p>
            <w:pPr>
              <w:jc w:val="center"/>
              <w:ind w:right="173"/>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1"/>
        </w:trPr>
        <w:tc>
          <w:tcPr>
            <w:tcW w:w="656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6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60" w:type="dxa"/>
            <w:vAlign w:val="bottom"/>
          </w:tcPr>
          <w:p>
            <w:pPr>
              <w:spacing w:after="0"/>
              <w:rPr>
                <w:sz w:val="6"/>
                <w:szCs w:val="6"/>
                <w:color w:val="auto"/>
              </w:rPr>
            </w:pPr>
          </w:p>
        </w:tc>
        <w:tc>
          <w:tcPr>
            <w:tcW w:w="40" w:type="dxa"/>
            <w:vAlign w:val="bottom"/>
          </w:tcPr>
          <w:p>
            <w:pPr>
              <w:spacing w:after="0"/>
              <w:rPr>
                <w:sz w:val="6"/>
                <w:szCs w:val="6"/>
                <w:color w:val="auto"/>
              </w:rPr>
            </w:pPr>
          </w:p>
        </w:tc>
        <w:tc>
          <w:tcPr>
            <w:tcW w:w="210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60" w:type="dxa"/>
            <w:vAlign w:val="bottom"/>
            <w:vMerge w:val="restart"/>
          </w:tcPr>
          <w:p>
            <w:pPr>
              <w:jc w:val="center"/>
              <w:ind w:right="1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-652145</wp:posOffset>
            </wp:positionV>
            <wp:extent cx="59690" cy="6654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5480"/>
                    </a:xfrm>
                    <a:prstGeom prst="rect">
                      <a:avLst/>
                    </a:prstGeom>
                    <a:noFill/>
                  </pic:spPr>
                </pic:pic>
              </a:graphicData>
            </a:graphic>
          </wp:anchor>
        </w:drawing>
        <w:drawing>
          <wp:anchor simplePos="0" relativeHeight="251657728" behindDoc="1" locked="0" layoutInCell="0" allowOverlap="1">
            <wp:simplePos x="0" y="0"/>
            <wp:positionH relativeFrom="column">
              <wp:posOffset>4150360</wp:posOffset>
            </wp:positionH>
            <wp:positionV relativeFrom="paragraph">
              <wp:posOffset>-652145</wp:posOffset>
            </wp:positionV>
            <wp:extent cx="59690" cy="6654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5480"/>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-1696085</wp:posOffset>
            </wp:positionH>
            <wp:positionV relativeFrom="paragraph">
              <wp:posOffset>20955</wp:posOffset>
            </wp:positionV>
            <wp:extent cx="7322820" cy="4711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711700"/>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360" w:space="300"/>
            <w:col w:w="8860"/>
          </w:cols>
          <w:pgMar w:left="240" w:top="226" w:right="13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Beitler Bradley D.</w:t>
        </w:r>
      </w:hyperlink>
    </w:p>
    <w:p>
      <w:pPr>
        <w:spacing w:after="0" w:line="314"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TechnipFMC plc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FTI</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1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5" w:lineRule="exact"/>
        <w:rPr>
          <w:sz w:val="24"/>
          <w:szCs w:val="24"/>
          <w:color w:val="auto"/>
        </w:rPr>
      </w:pPr>
    </w:p>
    <w:p>
      <w:pPr>
        <w:spacing w:after="0"/>
        <w:rPr>
          <w:sz w:val="20"/>
          <w:szCs w:val="20"/>
          <w:color w:val="auto"/>
        </w:rPr>
      </w:pPr>
      <w:r>
        <w:rPr>
          <w:rFonts w:ascii="Arial" w:cs="Arial" w:eastAsia="Arial" w:hAnsi="Arial"/>
          <w:sz w:val="17"/>
          <w:szCs w:val="17"/>
          <w:color w:val="0000FF"/>
        </w:rPr>
        <w:t>01/19/2017</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6" w:right="640" w:firstLine="6"/>
        <w:spacing w:after="0" w:line="256"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14" w:type="dxa"/>
        <w:tblCellMar>
          <w:top w:w="0" w:type="dxa"/>
          <w:left w:w="0" w:type="dxa"/>
          <w:bottom w:w="0" w:type="dxa"/>
          <w:right w:w="0" w:type="dxa"/>
        </w:tblCellMar>
      </w:tblPr>
      <w:tr>
        <w:trPr>
          <w:trHeight w:val="162"/>
        </w:trPr>
        <w:tc>
          <w:tcPr>
            <w:tcW w:w="220" w:type="dxa"/>
            <w:vAlign w:val="bottom"/>
          </w:tcPr>
          <w:p>
            <w:pPr>
              <w:spacing w:after="0"/>
              <w:rPr>
                <w:sz w:val="14"/>
                <w:szCs w:val="14"/>
                <w:color w:val="auto"/>
              </w:rPr>
            </w:pP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8"/>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674"/>
        <w:spacing w:after="0"/>
        <w:rPr>
          <w:sz w:val="20"/>
          <w:szCs w:val="20"/>
          <w:color w:val="auto"/>
        </w:rPr>
      </w:pPr>
      <w:r>
        <w:rPr>
          <w:rFonts w:ascii="Arial" w:cs="Arial" w:eastAsia="Arial" w:hAnsi="Arial"/>
          <w:sz w:val="17"/>
          <w:szCs w:val="17"/>
          <w:color w:val="0000FF"/>
        </w:rPr>
        <w:t>EVP, Technology and R&amp;D</w:t>
      </w:r>
    </w:p>
    <w:p>
      <w:pPr>
        <w:spacing w:after="0" w:line="334" w:lineRule="exact"/>
        <w:rPr>
          <w:sz w:val="24"/>
          <w:szCs w:val="24"/>
          <w:color w:val="auto"/>
        </w:rPr>
      </w:pPr>
    </w:p>
    <w:p>
      <w:pPr>
        <w:sectPr>
          <w:pgSz w:w="11900" w:h="16838" w:orient="portrait"/>
          <w:cols w:equalWidth="0" w:num="3">
            <w:col w:w="3340" w:space="720"/>
            <w:col w:w="3266" w:space="720"/>
            <w:col w:w="3474"/>
          </w:cols>
          <w:pgMar w:left="240" w:top="226" w:right="13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4"/>
                <w:szCs w:val="14"/>
                <w:color w:val="auto"/>
              </w:rPr>
            </w:pPr>
          </w:p>
        </w:tc>
        <w:tc>
          <w:tcPr>
            <w:tcW w:w="1660" w:type="dxa"/>
            <w:vAlign w:val="bottom"/>
          </w:tcPr>
          <w:p>
            <w:pPr>
              <w:spacing w:after="0"/>
              <w:rPr>
                <w:sz w:val="14"/>
                <w:szCs w:val="14"/>
                <w:color w:val="auto"/>
              </w:rPr>
            </w:pPr>
          </w:p>
        </w:tc>
      </w:tr>
      <w:tr>
        <w:trPr>
          <w:trHeight w:val="241"/>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LONDON</w:t>
            </w:r>
          </w:p>
        </w:tc>
        <w:tc>
          <w:tcPr>
            <w:tcW w:w="1120" w:type="dxa"/>
            <w:vAlign w:val="bottom"/>
          </w:tcPr>
          <w:p>
            <w:pPr>
              <w:ind w:left="280"/>
              <w:spacing w:after="0"/>
              <w:rPr>
                <w:sz w:val="20"/>
                <w:szCs w:val="20"/>
                <w:color w:val="auto"/>
              </w:rPr>
            </w:pPr>
            <w:r>
              <w:rPr>
                <w:rFonts w:ascii="Arial" w:cs="Arial" w:eastAsia="Arial" w:hAnsi="Arial"/>
                <w:sz w:val="17"/>
                <w:szCs w:val="17"/>
                <w:color w:val="0000FF"/>
              </w:rPr>
              <w:t>X0</w:t>
            </w:r>
          </w:p>
        </w:tc>
        <w:tc>
          <w:tcPr>
            <w:tcW w:w="1660" w:type="dxa"/>
            <w:vAlign w:val="bottom"/>
          </w:tcPr>
          <w:p>
            <w:pPr>
              <w:ind w:left="420"/>
              <w:spacing w:after="0"/>
              <w:rPr>
                <w:sz w:val="20"/>
                <w:szCs w:val="20"/>
                <w:color w:val="auto"/>
              </w:rPr>
            </w:pPr>
            <w:r>
              <w:rPr>
                <w:rFonts w:ascii="Arial" w:cs="Arial" w:eastAsia="Arial" w:hAnsi="Arial"/>
                <w:sz w:val="17"/>
                <w:szCs w:val="17"/>
                <w:color w:val="0000FF"/>
              </w:rPr>
              <w:t>EC4M 8AP</w:t>
            </w:r>
          </w:p>
        </w:tc>
      </w:tr>
      <w:tr>
        <w:trPr>
          <w:trHeight w:val="157"/>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80"/>
              <w:spacing w:after="0"/>
              <w:rPr>
                <w:sz w:val="20"/>
                <w:szCs w:val="20"/>
                <w:color w:val="auto"/>
              </w:rPr>
            </w:pPr>
            <w:r>
              <w:rPr>
                <w:rFonts w:ascii="Arial" w:cs="Arial" w:eastAsia="Arial" w:hAnsi="Arial"/>
                <w:sz w:val="13"/>
                <w:szCs w:val="13"/>
                <w:color w:val="auto"/>
              </w:rPr>
              <w:t>(State)</w:t>
            </w:r>
          </w:p>
        </w:tc>
        <w:tc>
          <w:tcPr>
            <w:tcW w:w="166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200"/>
        <w:spacing w:after="0" w:line="23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4"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16" w:lineRule="exact"/>
        <w:rPr>
          <w:sz w:val="24"/>
          <w:szCs w:val="24"/>
          <w:color w:val="auto"/>
        </w:rPr>
      </w:pPr>
    </w:p>
    <w:p>
      <w:pPr>
        <w:sectPr>
          <w:pgSz w:w="11900" w:h="16838" w:orient="portrait"/>
          <w:cols w:equalWidth="0" w:num="2">
            <w:col w:w="3900" w:space="160"/>
            <w:col w:w="746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6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ind w:left="10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Disposed Of (D) (Instr. 3, 4 and</w:t>
            </w:r>
          </w:p>
        </w:tc>
        <w:tc>
          <w:tcPr>
            <w:tcW w:w="11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of Indirect</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4"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Beneficial</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Ownership</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840" w:type="dxa"/>
            <w:vAlign w:val="bottom"/>
            <w:vMerge w:val="restart"/>
          </w:tcPr>
          <w:p>
            <w:pPr>
              <w:ind w:left="100"/>
              <w:spacing w:after="0" w:line="134" w:lineRule="exact"/>
              <w:rPr>
                <w:sz w:val="20"/>
                <w:szCs w:val="20"/>
                <w:color w:val="auto"/>
              </w:rPr>
            </w:pPr>
            <w:r>
              <w:rPr>
                <w:rFonts w:ascii="Arial" w:cs="Arial" w:eastAsia="Arial" w:hAnsi="Arial"/>
                <w:sz w:val="12"/>
                <w:szCs w:val="12"/>
                <w:b w:val="1"/>
                <w:bCs w:val="1"/>
                <w:color w:val="auto"/>
              </w:rPr>
              <w:t>(Instr. 4)</w:t>
            </w: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60" w:type="dxa"/>
            <w:vAlign w:val="bottom"/>
            <w:vMerge w:val="continue"/>
          </w:tcPr>
          <w:p>
            <w:pPr>
              <w:spacing w:after="0"/>
              <w:rPr>
                <w:sz w:val="3"/>
                <w:szCs w:val="3"/>
                <w:color w:val="auto"/>
              </w:rPr>
            </w:pPr>
          </w:p>
        </w:tc>
        <w:tc>
          <w:tcPr>
            <w:tcW w:w="98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180"/>
              <w:spacing w:after="0" w:line="134"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2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98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2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98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8"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18"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5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Indirect</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w:t>
            </w:r>
          </w:p>
        </w:tc>
      </w:tr>
      <w:tr>
        <w:trPr>
          <w:trHeight w:val="134"/>
        </w:trPr>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ind w:left="60"/>
              <w:spacing w:after="0" w:line="134"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Ownership</w:t>
            </w:r>
          </w:p>
        </w:tc>
      </w:tr>
      <w:tr>
        <w:trPr>
          <w:trHeight w:val="134"/>
        </w:trPr>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(Instr. 4)</w:t>
            </w:r>
          </w:p>
        </w:tc>
      </w:tr>
      <w:tr>
        <w:trPr>
          <w:trHeight w:val="134"/>
        </w:trPr>
        <w:tc>
          <w:tcPr>
            <w:tcW w:w="720" w:type="dxa"/>
            <w:vAlign w:val="bottom"/>
          </w:tcPr>
          <w:p>
            <w:pPr>
              <w:spacing w:after="0"/>
              <w:rPr>
                <w:sz w:val="11"/>
                <w:szCs w:val="11"/>
                <w:color w:val="auto"/>
              </w:rPr>
            </w:pP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4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r>
      <w:tr>
        <w:trPr>
          <w:trHeight w:val="172"/>
        </w:trPr>
        <w:tc>
          <w:tcPr>
            <w:tcW w:w="7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80" w:type="dxa"/>
            <w:vAlign w:val="bottom"/>
          </w:tcPr>
          <w:p>
            <w:pPr>
              <w:spacing w:after="0"/>
              <w:rPr>
                <w:sz w:val="14"/>
                <w:szCs w:val="14"/>
                <w:color w:val="auto"/>
              </w:rPr>
            </w:pPr>
          </w:p>
        </w:tc>
      </w:tr>
      <w:tr>
        <w:trPr>
          <w:trHeight w:val="134"/>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34"/>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40" w:type="dxa"/>
            <w:vAlign w:val="bottom"/>
          </w:tcPr>
          <w:p>
            <w:pPr>
              <w:spacing w:after="0" w:line="134"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r>
      <w:tr>
        <w:trPr>
          <w:trHeight w:val="159"/>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10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r>
    </w:tbl>
    <w:p>
      <w:pPr>
        <w:spacing w:after="0" w:line="41" w:lineRule="exact"/>
        <w:rPr>
          <w:sz w:val="24"/>
          <w:szCs w:val="24"/>
          <w:color w:val="auto"/>
        </w:rPr>
      </w:pPr>
    </w:p>
    <w:tbl>
      <w:tblPr>
        <w:tblLayout w:type="fixed"/>
        <w:tblInd w:w="80" w:type="dxa"/>
        <w:tblCellMar>
          <w:top w:w="0" w:type="dxa"/>
          <w:left w:w="0" w:type="dxa"/>
          <w:bottom w:w="0" w:type="dxa"/>
          <w:right w:w="0" w:type="dxa"/>
        </w:tblCellMar>
      </w:tblPr>
      <w:tr>
        <w:trPr>
          <w:trHeight w:val="149"/>
        </w:trPr>
        <w:tc>
          <w:tcPr>
            <w:tcW w:w="740" w:type="dxa"/>
            <w:vAlign w:val="bottom"/>
          </w:tcPr>
          <w:p>
            <w:pPr>
              <w:spacing w:after="0"/>
              <w:rPr>
                <w:sz w:val="20"/>
                <w:szCs w:val="20"/>
                <w:color w:val="auto"/>
              </w:rPr>
            </w:pPr>
            <w:r>
              <w:rPr>
                <w:rFonts w:ascii="Arial" w:cs="Arial" w:eastAsia="Arial" w:hAnsi="Arial"/>
                <w:sz w:val="13"/>
                <w:szCs w:val="13"/>
                <w:color w:val="0000FF"/>
              </w:rPr>
              <w:t>Phantom</w:t>
            </w:r>
          </w:p>
        </w:tc>
        <w:tc>
          <w:tcPr>
            <w:tcW w:w="700" w:type="dxa"/>
            <w:vAlign w:val="bottom"/>
            <w:vMerge w:val="restart"/>
          </w:tcPr>
          <w:p>
            <w:pPr>
              <w:jc w:val="right"/>
              <w:ind w:right="244"/>
              <w:spacing w:after="0"/>
              <w:rPr>
                <w:sz w:val="20"/>
                <w:szCs w:val="20"/>
                <w:color w:val="auto"/>
              </w:rPr>
            </w:pPr>
            <w:r>
              <w:rPr>
                <w:rFonts w:ascii="Arial" w:cs="Arial" w:eastAsia="Arial" w:hAnsi="Arial"/>
                <w:sz w:val="11"/>
                <w:szCs w:val="11"/>
                <w:color w:val="008000"/>
              </w:rPr>
              <w:t>(1)</w:t>
            </w:r>
          </w:p>
        </w:tc>
        <w:tc>
          <w:tcPr>
            <w:tcW w:w="16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820" w:type="dxa"/>
            <w:vAlign w:val="bottom"/>
            <w:vMerge w:val="restart"/>
          </w:tcPr>
          <w:p>
            <w:pPr>
              <w:jc w:val="right"/>
              <w:ind w:right="264"/>
              <w:spacing w:after="0"/>
              <w:rPr>
                <w:sz w:val="20"/>
                <w:szCs w:val="20"/>
                <w:color w:val="auto"/>
              </w:rPr>
            </w:pPr>
            <w:r>
              <w:rPr>
                <w:rFonts w:ascii="Arial" w:cs="Arial" w:eastAsia="Arial" w:hAnsi="Arial"/>
                <w:sz w:val="11"/>
                <w:szCs w:val="11"/>
                <w:color w:val="008000"/>
              </w:rPr>
              <w:t>(2)</w:t>
            </w:r>
          </w:p>
        </w:tc>
        <w:tc>
          <w:tcPr>
            <w:tcW w:w="640" w:type="dxa"/>
            <w:vAlign w:val="bottom"/>
            <w:vMerge w:val="restart"/>
          </w:tcPr>
          <w:p>
            <w:pPr>
              <w:jc w:val="right"/>
              <w:ind w:right="124"/>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ind w:left="200"/>
              <w:spacing w:after="0"/>
              <w:rPr>
                <w:sz w:val="20"/>
                <w:szCs w:val="20"/>
                <w:color w:val="auto"/>
              </w:rPr>
            </w:pPr>
            <w:r>
              <w:rPr>
                <w:rFonts w:ascii="Arial" w:cs="Arial" w:eastAsia="Arial" w:hAnsi="Arial"/>
                <w:sz w:val="13"/>
                <w:szCs w:val="13"/>
                <w:color w:val="0000FF"/>
              </w:rPr>
              <w:t>Ordinary</w:t>
            </w:r>
          </w:p>
        </w:tc>
        <w:tc>
          <w:tcPr>
            <w:tcW w:w="680" w:type="dxa"/>
            <w:vAlign w:val="bottom"/>
            <w:vMerge w:val="restart"/>
          </w:tcPr>
          <w:p>
            <w:pPr>
              <w:jc w:val="right"/>
              <w:ind w:right="33"/>
              <w:spacing w:after="0"/>
              <w:rPr>
                <w:sz w:val="20"/>
                <w:szCs w:val="20"/>
                <w:color w:val="auto"/>
              </w:rPr>
            </w:pPr>
            <w:r>
              <w:rPr>
                <w:rFonts w:ascii="Arial" w:cs="Arial" w:eastAsia="Arial" w:hAnsi="Arial"/>
                <w:sz w:val="17"/>
                <w:szCs w:val="17"/>
                <w:color w:val="0000FF"/>
              </w:rPr>
              <w:t>39.539</w:t>
            </w:r>
          </w:p>
        </w:tc>
        <w:tc>
          <w:tcPr>
            <w:tcW w:w="6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9"/>
        </w:trPr>
        <w:tc>
          <w:tcPr>
            <w:tcW w:w="740" w:type="dxa"/>
            <w:vAlign w:val="bottom"/>
            <w:vMerge w:val="restart"/>
          </w:tcPr>
          <w:p>
            <w:pPr>
              <w:spacing w:after="0"/>
              <w:rPr>
                <w:sz w:val="20"/>
                <w:szCs w:val="20"/>
                <w:color w:val="auto"/>
              </w:rPr>
            </w:pPr>
            <w:r>
              <w:rPr>
                <w:rFonts w:ascii="Arial" w:cs="Arial" w:eastAsia="Arial" w:hAnsi="Arial"/>
                <w:sz w:val="13"/>
                <w:szCs w:val="13"/>
                <w:color w:val="0000FF"/>
              </w:rPr>
              <w:t>Stock</w:t>
            </w:r>
          </w:p>
        </w:tc>
        <w:tc>
          <w:tcPr>
            <w:tcW w:w="700" w:type="dxa"/>
            <w:vAlign w:val="bottom"/>
            <w:vMerge w:val="continue"/>
          </w:tcPr>
          <w:p>
            <w:pPr>
              <w:spacing w:after="0"/>
              <w:rPr>
                <w:sz w:val="4"/>
                <w:szCs w:val="4"/>
                <w:color w:val="auto"/>
              </w:rPr>
            </w:pPr>
          </w:p>
        </w:tc>
        <w:tc>
          <w:tcPr>
            <w:tcW w:w="1680" w:type="dxa"/>
            <w:vAlign w:val="bottom"/>
            <w:vMerge w:val="restart"/>
          </w:tcPr>
          <w:p>
            <w:pPr>
              <w:jc w:val="right"/>
              <w:ind w:right="713"/>
              <w:spacing w:after="0"/>
              <w:rPr>
                <w:sz w:val="20"/>
                <w:szCs w:val="20"/>
                <w:color w:val="auto"/>
              </w:rPr>
            </w:pPr>
            <w:r>
              <w:rPr>
                <w:rFonts w:ascii="Arial" w:cs="Arial" w:eastAsia="Arial" w:hAnsi="Arial"/>
                <w:sz w:val="13"/>
                <w:szCs w:val="13"/>
                <w:color w:val="0000FF"/>
              </w:rPr>
              <w:t>01/19/2017</w:t>
            </w:r>
          </w:p>
        </w:tc>
        <w:tc>
          <w:tcPr>
            <w:tcW w:w="1200" w:type="dxa"/>
            <w:vAlign w:val="bottom"/>
            <w:vMerge w:val="restart"/>
          </w:tcPr>
          <w:p>
            <w:pPr>
              <w:ind w:left="780"/>
              <w:spacing w:after="0"/>
              <w:rPr>
                <w:sz w:val="20"/>
                <w:szCs w:val="20"/>
                <w:color w:val="auto"/>
              </w:rPr>
            </w:pPr>
            <w:r>
              <w:rPr>
                <w:rFonts w:ascii="Arial" w:cs="Arial" w:eastAsia="Arial" w:hAnsi="Arial"/>
                <w:sz w:val="13"/>
                <w:szCs w:val="13"/>
                <w:color w:val="0000FF"/>
              </w:rPr>
              <w:t>A</w:t>
            </w:r>
          </w:p>
        </w:tc>
        <w:tc>
          <w:tcPr>
            <w:tcW w:w="1060" w:type="dxa"/>
            <w:vAlign w:val="bottom"/>
            <w:vMerge w:val="restart"/>
          </w:tcPr>
          <w:p>
            <w:pPr>
              <w:jc w:val="right"/>
              <w:ind w:right="293"/>
              <w:spacing w:after="0"/>
              <w:rPr>
                <w:sz w:val="20"/>
                <w:szCs w:val="20"/>
                <w:color w:val="auto"/>
              </w:rPr>
            </w:pPr>
            <w:r>
              <w:rPr>
                <w:rFonts w:ascii="Arial" w:cs="Arial" w:eastAsia="Arial" w:hAnsi="Arial"/>
                <w:sz w:val="13"/>
                <w:szCs w:val="13"/>
                <w:color w:val="0000FF"/>
              </w:rPr>
              <w:t>39.539</w:t>
            </w:r>
          </w:p>
        </w:tc>
        <w:tc>
          <w:tcPr>
            <w:tcW w:w="820" w:type="dxa"/>
            <w:vAlign w:val="bottom"/>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740" w:type="dxa"/>
            <w:vAlign w:val="bottom"/>
            <w:vMerge w:val="continue"/>
          </w:tcPr>
          <w:p>
            <w:pPr>
              <w:spacing w:after="0"/>
              <w:rPr>
                <w:sz w:val="4"/>
                <w:szCs w:val="4"/>
                <w:color w:val="auto"/>
              </w:rPr>
            </w:pPr>
          </w:p>
        </w:tc>
        <w:tc>
          <w:tcPr>
            <w:tcW w:w="680" w:type="dxa"/>
            <w:vAlign w:val="bottom"/>
            <w:vMerge w:val="continue"/>
          </w:tcPr>
          <w:p>
            <w:pPr>
              <w:spacing w:after="0"/>
              <w:rPr>
                <w:sz w:val="4"/>
                <w:szCs w:val="4"/>
                <w:color w:val="auto"/>
              </w:rPr>
            </w:pPr>
          </w:p>
        </w:tc>
        <w:tc>
          <w:tcPr>
            <w:tcW w:w="680" w:type="dxa"/>
            <w:vAlign w:val="bottom"/>
            <w:vMerge w:val="restart"/>
          </w:tcPr>
          <w:p>
            <w:pPr>
              <w:jc w:val="right"/>
              <w:ind w:right="12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17.88</w:t>
            </w:r>
          </w:p>
        </w:tc>
        <w:tc>
          <w:tcPr>
            <w:tcW w:w="1040" w:type="dxa"/>
            <w:vAlign w:val="bottom"/>
            <w:vMerge w:val="restart"/>
          </w:tcPr>
          <w:p>
            <w:pPr>
              <w:jc w:val="right"/>
              <w:ind w:right="193"/>
              <w:spacing w:after="0"/>
              <w:rPr>
                <w:sz w:val="20"/>
                <w:szCs w:val="20"/>
                <w:color w:val="auto"/>
              </w:rPr>
            </w:pPr>
            <w:r>
              <w:rPr>
                <w:rFonts w:ascii="Arial" w:cs="Arial" w:eastAsia="Arial" w:hAnsi="Arial"/>
                <w:sz w:val="13"/>
                <w:szCs w:val="13"/>
                <w:color w:val="0000FF"/>
              </w:rPr>
              <w:t>23,329.547</w:t>
            </w:r>
          </w:p>
        </w:tc>
        <w:tc>
          <w:tcPr>
            <w:tcW w:w="360" w:type="dxa"/>
            <w:vAlign w:val="bottom"/>
            <w:vMerge w:val="restart"/>
          </w:tcPr>
          <w:p>
            <w:pPr>
              <w:ind w:left="260"/>
              <w:spacing w:after="0"/>
              <w:rPr>
                <w:sz w:val="20"/>
                <w:szCs w:val="20"/>
                <w:color w:val="auto"/>
              </w:rPr>
            </w:pPr>
            <w:r>
              <w:rPr>
                <w:rFonts w:ascii="Arial" w:cs="Arial" w:eastAsia="Arial" w:hAnsi="Arial"/>
                <w:sz w:val="13"/>
                <w:szCs w:val="13"/>
                <w:color w:val="0000FF"/>
                <w:w w:val="84"/>
              </w:rPr>
              <w:t>D</w:t>
            </w:r>
          </w:p>
        </w:tc>
        <w:tc>
          <w:tcPr>
            <w:tcW w:w="0" w:type="dxa"/>
            <w:vAlign w:val="bottom"/>
          </w:tcPr>
          <w:p>
            <w:pPr>
              <w:spacing w:after="0"/>
              <w:rPr>
                <w:sz w:val="1"/>
                <w:szCs w:val="1"/>
                <w:color w:val="auto"/>
              </w:rPr>
            </w:pPr>
          </w:p>
        </w:tc>
      </w:tr>
      <w:tr>
        <w:trPr>
          <w:trHeight w:val="88"/>
        </w:trPr>
        <w:tc>
          <w:tcPr>
            <w:tcW w:w="7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1680" w:type="dxa"/>
            <w:vAlign w:val="bottom"/>
            <w:vMerge w:val="continue"/>
          </w:tcPr>
          <w:p>
            <w:pPr>
              <w:spacing w:after="0"/>
              <w:rPr>
                <w:sz w:val="7"/>
                <w:szCs w:val="7"/>
                <w:color w:val="auto"/>
              </w:rPr>
            </w:pPr>
          </w:p>
        </w:tc>
        <w:tc>
          <w:tcPr>
            <w:tcW w:w="1200" w:type="dxa"/>
            <w:vAlign w:val="bottom"/>
            <w:vMerge w:val="continue"/>
          </w:tcPr>
          <w:p>
            <w:pPr>
              <w:spacing w:after="0"/>
              <w:rPr>
                <w:sz w:val="7"/>
                <w:szCs w:val="7"/>
                <w:color w:val="auto"/>
              </w:rPr>
            </w:pPr>
          </w:p>
        </w:tc>
        <w:tc>
          <w:tcPr>
            <w:tcW w:w="106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740" w:type="dxa"/>
            <w:vAlign w:val="bottom"/>
            <w:vMerge w:val="restart"/>
          </w:tcPr>
          <w:p>
            <w:pPr>
              <w:ind w:left="180"/>
              <w:spacing w:after="0" w:line="163" w:lineRule="exact"/>
              <w:rPr>
                <w:sz w:val="20"/>
                <w:szCs w:val="20"/>
                <w:color w:val="auto"/>
              </w:rPr>
            </w:pPr>
            <w:r>
              <w:rPr>
                <w:rFonts w:ascii="Arial" w:cs="Arial" w:eastAsia="Arial" w:hAnsi="Arial"/>
                <w:sz w:val="11"/>
                <w:szCs w:val="11"/>
                <w:color w:val="0000FF"/>
              </w:rPr>
              <w:t>Shares</w:t>
            </w:r>
            <w:r>
              <w:rPr>
                <w:rFonts w:ascii="Arial" w:cs="Arial" w:eastAsia="Arial" w:hAnsi="Arial"/>
                <w:sz w:val="18"/>
                <w:szCs w:val="18"/>
                <w:color w:val="008000"/>
                <w:vertAlign w:val="superscript"/>
              </w:rPr>
              <w:t>(3)</w:t>
            </w:r>
          </w:p>
        </w:tc>
        <w:tc>
          <w:tcPr>
            <w:tcW w:w="68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1040" w:type="dxa"/>
            <w:vAlign w:val="bottom"/>
            <w:vMerge w:val="continue"/>
          </w:tcPr>
          <w:p>
            <w:pPr>
              <w:spacing w:after="0"/>
              <w:rPr>
                <w:sz w:val="7"/>
                <w:szCs w:val="7"/>
                <w:color w:val="auto"/>
              </w:rPr>
            </w:pPr>
          </w:p>
        </w:tc>
        <w:tc>
          <w:tcPr>
            <w:tcW w:w="3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74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1680" w:type="dxa"/>
            <w:vAlign w:val="bottom"/>
            <w:vMerge w:val="continue"/>
          </w:tcPr>
          <w:p>
            <w:pPr>
              <w:spacing w:after="0"/>
              <w:rPr>
                <w:sz w:val="6"/>
                <w:szCs w:val="6"/>
                <w:color w:val="auto"/>
              </w:rPr>
            </w:pPr>
          </w:p>
        </w:tc>
        <w:tc>
          <w:tcPr>
            <w:tcW w:w="1200" w:type="dxa"/>
            <w:vAlign w:val="bottom"/>
            <w:vMerge w:val="continue"/>
          </w:tcPr>
          <w:p>
            <w:pPr>
              <w:spacing w:after="0"/>
              <w:rPr>
                <w:sz w:val="6"/>
                <w:szCs w:val="6"/>
                <w:color w:val="auto"/>
              </w:rPr>
            </w:pPr>
          </w:p>
        </w:tc>
        <w:tc>
          <w:tcPr>
            <w:tcW w:w="1060" w:type="dxa"/>
            <w:vAlign w:val="bottom"/>
            <w:vMerge w:val="continue"/>
          </w:tcPr>
          <w:p>
            <w:pPr>
              <w:spacing w:after="0"/>
              <w:rPr>
                <w:sz w:val="6"/>
                <w:szCs w:val="6"/>
                <w:color w:val="auto"/>
              </w:rPr>
            </w:pPr>
          </w:p>
        </w:tc>
        <w:tc>
          <w:tcPr>
            <w:tcW w:w="820" w:type="dxa"/>
            <w:vAlign w:val="bottom"/>
          </w:tcPr>
          <w:p>
            <w:pPr>
              <w:spacing w:after="0"/>
              <w:rPr>
                <w:sz w:val="6"/>
                <w:szCs w:val="6"/>
                <w:color w:val="auto"/>
              </w:rPr>
            </w:pPr>
          </w:p>
        </w:tc>
        <w:tc>
          <w:tcPr>
            <w:tcW w:w="640" w:type="dxa"/>
            <w:vAlign w:val="bottom"/>
          </w:tcPr>
          <w:p>
            <w:pPr>
              <w:spacing w:after="0"/>
              <w:rPr>
                <w:sz w:val="6"/>
                <w:szCs w:val="6"/>
                <w:color w:val="auto"/>
              </w:rPr>
            </w:pPr>
          </w:p>
        </w:tc>
        <w:tc>
          <w:tcPr>
            <w:tcW w:w="74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1040" w:type="dxa"/>
            <w:vAlign w:val="bottom"/>
            <w:vMerge w:val="continue"/>
          </w:tcPr>
          <w:p>
            <w:pPr>
              <w:spacing w:after="0"/>
              <w:rPr>
                <w:sz w:val="6"/>
                <w:szCs w:val="6"/>
                <w:color w:val="auto"/>
              </w:rPr>
            </w:pPr>
          </w:p>
        </w:tc>
        <w:tc>
          <w:tcPr>
            <w:tcW w:w="36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740" w:type="dxa"/>
            <w:vAlign w:val="bottom"/>
          </w:tcPr>
          <w:p>
            <w:pPr>
              <w:spacing w:after="0"/>
              <w:rPr>
                <w:sz w:val="20"/>
                <w:szCs w:val="20"/>
                <w:color w:val="auto"/>
              </w:rPr>
            </w:pPr>
            <w:r>
              <w:rPr>
                <w:rFonts w:ascii="Arial" w:cs="Arial" w:eastAsia="Arial" w:hAnsi="Arial"/>
                <w:sz w:val="13"/>
                <w:szCs w:val="13"/>
                <w:color w:val="0000FF"/>
              </w:rPr>
              <w:t>Units</w:t>
            </w:r>
          </w:p>
        </w:tc>
        <w:tc>
          <w:tcPr>
            <w:tcW w:w="700" w:type="dxa"/>
            <w:vAlign w:val="bottom"/>
          </w:tcPr>
          <w:p>
            <w:pPr>
              <w:spacing w:after="0"/>
              <w:rPr>
                <w:sz w:val="14"/>
                <w:szCs w:val="14"/>
                <w:color w:val="auto"/>
              </w:rPr>
            </w:pPr>
          </w:p>
        </w:tc>
        <w:tc>
          <w:tcPr>
            <w:tcW w:w="16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N/A</w:t>
      </w:r>
    </w:p>
    <w:p>
      <w:pPr>
        <w:spacing w:after="0" w:line="52" w:lineRule="exact"/>
        <w:rPr>
          <w:rFonts w:ascii="Arial" w:cs="Arial" w:eastAsia="Arial" w:hAnsi="Arial"/>
          <w:sz w:val="13"/>
          <w:szCs w:val="13"/>
          <w:color w:val="008000"/>
        </w:rPr>
      </w:pPr>
    </w:p>
    <w:p>
      <w:pPr>
        <w:ind w:left="180" w:hanging="132"/>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Phantom Stock Units are payable in cash following termination or retirement of the reporting person's employment with TechnipFMC, or death.</w:t>
      </w:r>
    </w:p>
    <w:p>
      <w:pPr>
        <w:spacing w:after="0" w:line="52" w:lineRule="exact"/>
        <w:rPr>
          <w:rFonts w:ascii="Arial" w:cs="Arial" w:eastAsia="Arial" w:hAnsi="Arial"/>
          <w:sz w:val="13"/>
          <w:szCs w:val="13"/>
          <w:color w:val="008000"/>
        </w:rPr>
      </w:pPr>
    </w:p>
    <w:p>
      <w:pPr>
        <w:ind w:left="40" w:right="240" w:firstLine="8"/>
        <w:spacing w:after="0" w:line="273" w:lineRule="auto"/>
        <w:tabs>
          <w:tab w:leader="none" w:pos="174"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 participant's interest in the NQ Plan is represented in units (referred to as Phantom Stock Units) which consist of phantom shares of TechnipFMC Ordinary Shares and uninvested cash balances held by the NQ Plan for administrative convenience.</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51"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Lisa P. Wang, Attorney-In-Fact 01/23/2017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4358005</wp:posOffset>
            </wp:positionH>
            <wp:positionV relativeFrom="paragraph">
              <wp:posOffset>-6985</wp:posOffset>
            </wp:positionV>
            <wp:extent cx="1956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56435" cy="8255"/>
                    </a:xfrm>
                    <a:prstGeom prst="rect">
                      <a:avLst/>
                    </a:prstGeom>
                    <a:noFill/>
                  </pic:spPr>
                </pic:pic>
              </a:graphicData>
            </a:graphic>
          </wp:anchor>
        </w:drawing>
      </w:r>
    </w:p>
    <w:p>
      <w:pPr>
        <w:spacing w:after="0" w:line="61" w:lineRule="exact"/>
        <w:rPr>
          <w:sz w:val="24"/>
          <w:szCs w:val="24"/>
          <w:color w:val="auto"/>
        </w:rPr>
      </w:pPr>
    </w:p>
    <w:p>
      <w:pPr>
        <w:ind w:left="6860"/>
        <w:spacing w:after="0"/>
        <w:tabs>
          <w:tab w:leader="none" w:pos="91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2"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4"/>
          <w:szCs w:val="24"/>
          <w:color w:val="auto"/>
        </w:rPr>
      </w:pPr>
    </w:p>
    <w:p>
      <w:pPr>
        <w:jc w:val="both"/>
        <w:ind w:left="40" w:right="3720" w:firstLine="8"/>
        <w:spacing w:after="0" w:line="322" w:lineRule="auto"/>
        <w:tabs>
          <w:tab w:leader="none" w:pos="182"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1400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2019-12-24T09:08:59Z</dcterms:created>
  <dcterms:modified xsi:type="dcterms:W3CDTF">2019-12-24T09:08:59Z</dcterms:modified>
</cp:coreProperties>
</file>