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.9pt;margin-top:7.9pt;z-index:-16777208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7pt;margin-top:1pt;z-index:-16777204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13.9pt;margin-top:2pt;z-index:-16777200;width:590.1pt;height:763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</w:p>
    <w:p>
      <w:pPr>
        <w:pStyle w:val="Normal"/>
        <w:framePr w:w="10448" w:hAnchor="page" w:vAnchor="page" w:x="1919" w:y="19737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determined that the NOLs and valuation allowance would apply to the </w:t>
      </w:r>
    </w:p>
    <w:p>
      <w:pPr>
        <w:pStyle w:val="Normal"/>
        <w:framePr w:w="1333" w:hAnchor="page" w:vAnchor="page" w:x="5717" w:y="19516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how you </w:t>
      </w:r>
    </w:p>
    <w:p>
      <w:pPr>
        <w:pStyle w:val="Normal"/>
        <w:framePr w:w="11138" w:hAnchor="page" w:vAnchor="page" w:x="1632" w:y="19295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these jurisdictions had GAAP net losses but non-GAAP net income, tell us </w:t>
      </w:r>
    </w:p>
    <w:p>
      <w:pPr>
        <w:pStyle w:val="Normal"/>
        <w:framePr w:w="2161" w:hAnchor="page" w:vAnchor="page" w:x="5372" w:y="1907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to the extent </w:t>
      </w:r>
    </w:p>
    <w:p>
      <w:pPr>
        <w:pStyle w:val="Normal"/>
        <w:framePr w:w="11276" w:hAnchor="page" w:vAnchor="page" w:x="1574" w:y="18852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based on the non-GAAP tax position in such jurisdictions. In this regard, </w:t>
      </w:r>
    </w:p>
    <w:p>
      <w:pPr>
        <w:pStyle w:val="Normal"/>
        <w:framePr w:w="3404" w:hAnchor="page" w:vAnchor="page" w:x="4854" w:y="18631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valuation allowance is </w:t>
      </w:r>
    </w:p>
    <w:p>
      <w:pPr>
        <w:pStyle w:val="Normal"/>
        <w:framePr w:w="10171" w:hAnchor="page" w:vAnchor="page" w:x="2034" w:y="18409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tax assets. Please clarify whether your reference to the NOLs and </w:t>
      </w:r>
    </w:p>
    <w:p>
      <w:pPr>
        <w:pStyle w:val="Normal"/>
        <w:framePr w:w="2990" w:hAnchor="page" w:vAnchor="page" w:x="4969" w:y="18188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>against the deferred</w:t>
      </w:r>
    </w:p>
    <w:p>
      <w:pPr>
        <w:pStyle w:val="Normal"/>
        <w:framePr w:w="10586" w:hAnchor="page" w:vAnchor="page" w:x="1862" w:y="17967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operating loss carryforwards (NOL) and/or a full valuation allowance </w:t>
      </w:r>
    </w:p>
    <w:p>
      <w:pPr>
        <w:pStyle w:val="Normal"/>
        <w:framePr w:w="3957" w:hAnchor="page" w:vAnchor="page" w:x="4624" w:y="17746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jurisdictions that had net </w:t>
      </w:r>
    </w:p>
    <w:p>
      <w:pPr>
        <w:pStyle w:val="Normal"/>
        <w:framePr w:w="10310" w:hAnchor="page" w:vAnchor="page" w:x="1977" w:y="17524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Technip Energies, due to the fact that these adjustments relate to </w:t>
      </w:r>
    </w:p>
    <w:p>
      <w:pPr>
        <w:pStyle w:val="Normal"/>
        <w:framePr w:w="2161" w:hAnchor="page" w:vAnchor="page" w:x="5372" w:y="1730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investment in </w:t>
      </w:r>
    </w:p>
    <w:p>
      <w:pPr>
        <w:pStyle w:val="Normal"/>
        <w:framePr w:w="10862" w:hAnchor="page" w:vAnchor="page" w:x="1747" w:y="17082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certain non-GAAP adjustments, such as impairment charges and loss from </w:t>
      </w:r>
    </w:p>
    <w:p>
      <w:pPr>
        <w:pStyle w:val="Normal"/>
        <w:framePr w:w="2299" w:hAnchor="page" w:vAnchor="page" w:x="5314" w:y="16860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tax effect for </w:t>
      </w:r>
    </w:p>
    <w:p>
      <w:pPr>
        <w:pStyle w:val="Normal"/>
        <w:framePr w:w="11276" w:hAnchor="page" w:vAnchor="page" w:x="1574" w:y="16639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2.    We note from your response to prior comment 4 that you did not record the </w:t>
      </w:r>
    </w:p>
    <w:p>
      <w:pPr>
        <w:pStyle w:val="Normal"/>
        <w:framePr w:w="8791" w:hAnchor="page" w:vAnchor="page" w:x="2610" w:y="16197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Reconciliation of GAAP to non-GAAP Financial Measures, page 1 </w:t>
      </w:r>
    </w:p>
    <w:p>
      <w:pPr>
        <w:pStyle w:val="Normal"/>
        <w:framePr w:w="2023" w:hAnchor="page" w:vAnchor="page" w:x="5429" w:y="15975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Exhibit 99.1 </w:t>
      </w:r>
    </w:p>
    <w:p>
      <w:pPr>
        <w:pStyle w:val="Normal"/>
        <w:framePr w:w="5614" w:hAnchor="page" w:vAnchor="page" w:x="3933" w:y="1553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Form 8-K Furnished on October 26, 2023 </w:t>
      </w:r>
    </w:p>
    <w:p>
      <w:pPr>
        <w:pStyle w:val="Normal"/>
        <w:framePr w:w="1195" w:hAnchor="page" w:vAnchor="page" w:x="5775" w:y="15311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Page 2 </w:t>
      </w:r>
    </w:p>
    <w:p>
      <w:pPr>
        <w:pStyle w:val="Normal"/>
        <w:framePr w:w="2576" w:hAnchor="page" w:vAnchor="page" w:x="5199" w:y="15090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November 8, 2023 </w:t>
      </w:r>
    </w:p>
    <w:p>
      <w:pPr>
        <w:pStyle w:val="Normal"/>
        <w:framePr w:w="2299" w:hAnchor="page" w:vAnchor="page" w:x="5314" w:y="14869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TechnipFMC plc </w:t>
      </w:r>
    </w:p>
    <w:p>
      <w:pPr>
        <w:pStyle w:val="Normal"/>
        <w:framePr w:w="1609" w:hAnchor="page" w:vAnchor="page" w:x="5545" w:y="14648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Alf Melin</w:t>
      </w:r>
    </w:p>
    <w:p>
      <w:pPr>
        <w:pStyle w:val="Normal"/>
        <w:framePr w:w="1609" w:hAnchor="page" w:vAnchor="page" w:x="5602" w:y="14426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possible. </w:t>
      </w:r>
    </w:p>
    <w:p>
      <w:pPr>
        <w:pStyle w:val="Normal"/>
        <w:framePr w:w="10033" w:hAnchor="page" w:vAnchor="page" w:x="2092" w:y="14205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drivers, where </w:t>
      </w:r>
    </w:p>
    <w:p>
      <w:pPr>
        <w:pStyle w:val="Normal"/>
        <w:framePr w:w="10310" w:hAnchor="page" w:vAnchor="page" w:x="1977" w:y="13984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geographic regions discussed and include a quantified discussion of such </w:t>
      </w:r>
    </w:p>
    <w:p>
      <w:pPr>
        <w:pStyle w:val="Normal"/>
        <w:framePr w:w="10171" w:hAnchor="page" w:vAnchor="page" w:x="2034" w:y="13762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revenue for the </w:t>
      </w:r>
    </w:p>
    <w:p>
      <w:pPr>
        <w:pStyle w:val="Normal"/>
        <w:framePr w:w="9205" w:hAnchor="page" w:vAnchor="page" w:x="2437" w:y="13541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such regions. Alternatively, tell us what other drivers impacted </w:t>
      </w:r>
    </w:p>
    <w:p>
      <w:pPr>
        <w:pStyle w:val="Normal"/>
        <w:framePr w:w="10724" w:hAnchor="page" w:vAnchor="page" w:x="1804" w:y="13320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impacted revenue in </w:t>
      </w:r>
    </w:p>
    <w:p>
      <w:pPr>
        <w:pStyle w:val="Normal"/>
        <w:framePr w:w="10448" w:hAnchor="page" w:vAnchor="page" w:x="1919" w:y="13099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include a qualitative discussion of how certain projects or product lines </w:t>
      </w:r>
    </w:p>
    <w:p>
      <w:pPr>
        <w:pStyle w:val="Normal"/>
        <w:framePr w:w="10310" w:hAnchor="page" w:vAnchor="page" w:x="1977" w:y="12877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consideration to </w:t>
      </w:r>
    </w:p>
    <w:p>
      <w:pPr>
        <w:pStyle w:val="Normal"/>
        <w:framePr w:w="9067" w:hAnchor="page" w:vAnchor="page" w:x="2495" w:y="12656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negatively impact negotiation with your customers, tell us your </w:t>
      </w:r>
    </w:p>
    <w:p>
      <w:pPr>
        <w:pStyle w:val="Normal"/>
        <w:framePr w:w="10724" w:hAnchor="page" w:vAnchor="page" w:x="1804" w:y="12435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competitive harm or </w:t>
      </w:r>
    </w:p>
    <w:p>
      <w:pPr>
        <w:pStyle w:val="Normal"/>
        <w:framePr w:w="9343" w:hAnchor="page" w:vAnchor="page" w:x="2380" w:y="1221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discussion of specific projects or product line details may cause </w:t>
      </w:r>
    </w:p>
    <w:p>
      <w:pPr>
        <w:pStyle w:val="Normal"/>
        <w:framePr w:w="11138" w:hAnchor="page" w:vAnchor="page" w:x="1632" w:y="11992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While you state that a </w:t>
      </w:r>
    </w:p>
    <w:p>
      <w:pPr>
        <w:pStyle w:val="Normal"/>
        <w:framePr w:w="9343" w:hAnchor="page" w:vAnchor="page" w:x="2380" w:y="11771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regions, however, the drivers behind such changes remain unclear. </w:t>
      </w:r>
    </w:p>
    <w:p>
      <w:pPr>
        <w:pStyle w:val="Normal"/>
        <w:framePr w:w="11138" w:hAnchor="page" w:vAnchor="page" w:x="1632" w:y="11550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for various geographic </w:t>
      </w:r>
    </w:p>
    <w:p>
      <w:pPr>
        <w:pStyle w:val="Normal"/>
        <w:framePr w:w="9619" w:hAnchor="page" w:vAnchor="page" w:x="2265" w:y="11328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Such revisions appear to focus on quantifying the change in revenue </w:t>
      </w:r>
    </w:p>
    <w:p>
      <w:pPr>
        <w:pStyle w:val="Normal"/>
        <w:framePr w:w="10724" w:hAnchor="page" w:vAnchor="page" w:x="1804" w:y="11107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30, 2023 Form 10-Q. </w:t>
      </w:r>
    </w:p>
    <w:p>
      <w:pPr>
        <w:pStyle w:val="Normal"/>
        <w:framePr w:w="9205" w:hAnchor="page" w:vAnchor="page" w:x="2437" w:y="10886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to prior comment 1 and the revised disclosures in your September </w:t>
      </w:r>
    </w:p>
    <w:p>
      <w:pPr>
        <w:pStyle w:val="Normal"/>
        <w:framePr w:w="11000" w:hAnchor="page" w:vAnchor="page" w:x="1689" w:y="10664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1.                                                   We note your response </w:t>
      </w:r>
    </w:p>
    <w:p>
      <w:pPr>
        <w:pStyle w:val="Normal"/>
        <w:framePr w:w="6581" w:hAnchor="page" w:vAnchor="page" w:x="3530" w:y="10222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Segment Results of Operations, page 36 </w:t>
      </w:r>
    </w:p>
    <w:p>
      <w:pPr>
        <w:pStyle w:val="Normal"/>
        <w:framePr w:w="2161" w:hAnchor="page" w:vAnchor="page" w:x="5372" w:y="10001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of Operations </w:t>
      </w:r>
    </w:p>
    <w:p>
      <w:pPr>
        <w:pStyle w:val="Normal"/>
        <w:framePr w:w="11138" w:hAnchor="page" w:vAnchor="page" w:x="1632" w:y="9779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Management's Discussion and Analysis of Financial Condition and Results </w:t>
      </w:r>
    </w:p>
    <w:p>
      <w:pPr>
        <w:pStyle w:val="Normal"/>
        <w:framePr w:w="9481" w:hAnchor="page" w:vAnchor="page" w:x="2322" w:y="9337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Form 10-Q for the Quarterly Period Ended September 30, 2023 </w:t>
      </w:r>
    </w:p>
    <w:p>
      <w:pPr>
        <w:pStyle w:val="Normal"/>
        <w:framePr w:w="2299" w:hAnchor="page" w:vAnchor="page" w:x="5314" w:y="8894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letter. </w:t>
      </w:r>
    </w:p>
    <w:p>
      <w:pPr>
        <w:pStyle w:val="Normal"/>
        <w:framePr w:w="2990" w:hAnchor="page" w:vAnchor="page" w:x="5027" w:y="867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our October 6, 2023 </w:t>
      </w:r>
    </w:p>
    <w:p>
      <w:pPr>
        <w:pStyle w:val="Normal"/>
        <w:framePr w:w="11000" w:hAnchor="page" w:vAnchor="page" w:x="1689" w:y="8452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we note otherwise, any references to prior comments are to comments in </w:t>
      </w:r>
    </w:p>
    <w:p>
      <w:pPr>
        <w:pStyle w:val="Normal"/>
        <w:framePr w:w="4095" w:hAnchor="page" w:vAnchor="page" w:x="4566" w:y="8230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additional comments. Unless </w:t>
      </w:r>
    </w:p>
    <w:p>
      <w:pPr>
        <w:pStyle w:val="Normal"/>
        <w:framePr w:w="10310" w:hAnchor="page" w:vAnchor="page" w:x="1977" w:y="8009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After reviewing your response to this letter, we may have </w:t>
      </w:r>
    </w:p>
    <w:p>
      <w:pPr>
        <w:pStyle w:val="Normal"/>
        <w:framePr w:w="2299" w:hAnchor="page" w:vAnchor="page" w:x="5314" w:y="7566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your response. </w:t>
      </w:r>
    </w:p>
    <w:p>
      <w:pPr>
        <w:pStyle w:val="Normal"/>
        <w:framePr w:w="11000" w:hAnchor="page" w:vAnchor="page" w:x="1689" w:y="7345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comment applies to your facts and circumstances, please tell us why in </w:t>
      </w:r>
    </w:p>
    <w:p>
      <w:pPr>
        <w:pStyle w:val="Normal"/>
        <w:framePr w:w="2990" w:hAnchor="page" w:vAnchor="page" w:x="4969" w:y="7124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>you do not believe a</w:t>
      </w:r>
    </w:p>
    <w:p>
      <w:pPr>
        <w:pStyle w:val="Normal"/>
        <w:framePr w:w="11000" w:hAnchor="page" w:vAnchor="page" w:x="1689" w:y="690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information or advise us as soon as possible when you will respond. If </w:t>
      </w:r>
    </w:p>
    <w:p>
      <w:pPr>
        <w:pStyle w:val="Normal"/>
        <w:framePr w:w="3542" w:hAnchor="page" w:vAnchor="page" w:x="4796" w:y="6681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providing the requested </w:t>
      </w:r>
    </w:p>
    <w:p>
      <w:pPr>
        <w:pStyle w:val="Normal"/>
        <w:framePr w:w="10171" w:hAnchor="page" w:vAnchor="page" w:x="2034" w:y="6460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Please respond to this letter within ten business days by </w:t>
      </w:r>
    </w:p>
    <w:p>
      <w:pPr>
        <w:pStyle w:val="Normal"/>
        <w:framePr w:w="3957" w:hAnchor="page" w:vAnchor="page" w:x="4624" w:y="6017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following comments. </w:t>
      </w:r>
    </w:p>
    <w:p>
      <w:pPr>
        <w:pStyle w:val="Normal"/>
        <w:framePr w:w="2990" w:hAnchor="page" w:vAnchor="page" w:x="5027" w:y="5796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letter and have the </w:t>
      </w:r>
    </w:p>
    <w:p>
      <w:pPr>
        <w:pStyle w:val="Normal"/>
        <w:framePr w:w="10862" w:hAnchor="page" w:vAnchor="page" w:x="1747" w:y="5575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We have reviewed your November 6, 2023 response to our comment </w:t>
      </w:r>
    </w:p>
    <w:p>
      <w:pPr>
        <w:pStyle w:val="Normal"/>
        <w:framePr w:w="3404" w:hAnchor="page" w:vAnchor="page" w:x="4854" w:y="5132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Dear Alf Melin: </w:t>
      </w:r>
    </w:p>
    <w:p>
      <w:pPr>
        <w:pStyle w:val="Normal"/>
        <w:framePr w:w="11138" w:hAnchor="page" w:vAnchor="page" w:x="1632" w:y="4690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    File No. 001-37983 </w:t>
      </w:r>
    </w:p>
    <w:p>
      <w:pPr>
        <w:pStyle w:val="Normal"/>
        <w:framePr w:w="2990" w:hAnchor="page" w:vAnchor="page" w:x="5027" w:y="4468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on October 26, 2023 </w:t>
      </w:r>
    </w:p>
    <w:p>
      <w:pPr>
        <w:pStyle w:val="Normal"/>
        <w:framePr w:w="11138" w:hAnchor="page" w:vAnchor="page" w:x="1632" w:y="4247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    Form 8-K furnished </w:t>
      </w:r>
    </w:p>
    <w:p>
      <w:pPr>
        <w:pStyle w:val="Normal"/>
        <w:framePr w:w="6028" w:hAnchor="page" w:vAnchor="page" w:x="3761" w:y="4026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Quarterly Period Ended September 30, 2023 </w:t>
      </w:r>
    </w:p>
    <w:p>
      <w:pPr>
        <w:pStyle w:val="Normal"/>
        <w:framePr w:w="11000" w:hAnchor="page" w:vAnchor="page" w:x="1689" w:y="3804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    Form 10-Q for the </w:t>
      </w:r>
    </w:p>
    <w:p>
      <w:pPr>
        <w:pStyle w:val="Normal"/>
        <w:framePr w:w="4233" w:hAnchor="page" w:vAnchor="page" w:x="4509" w:y="358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Year Ended December 31, 2022 </w:t>
      </w:r>
    </w:p>
    <w:p>
      <w:pPr>
        <w:pStyle w:val="Normal"/>
        <w:framePr w:w="11000" w:hAnchor="page" w:vAnchor="page" w:x="1689" w:y="3362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    Form 10-K for the </w:t>
      </w:r>
    </w:p>
    <w:p>
      <w:pPr>
        <w:pStyle w:val="Normal"/>
        <w:framePr w:w="10586" w:hAnchor="page" w:vAnchor="page" w:x="1862" w:y="3141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Re: TechnipFMC plc </w:t>
      </w:r>
    </w:p>
    <w:p>
      <w:pPr>
        <w:pStyle w:val="Normal"/>
        <w:framePr w:w="6166" w:hAnchor="page" w:vAnchor="page" w:x="3703" w:y="2698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Newcastle Upon Tyne, United Kingdom </w:t>
      </w:r>
    </w:p>
    <w:p>
      <w:pPr>
        <w:pStyle w:val="Normal"/>
        <w:framePr w:w="5476" w:hAnchor="page" w:vAnchor="page" w:x="3991" w:y="2477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Hadrian House, Wincomblee Road </w:t>
      </w:r>
    </w:p>
    <w:p>
      <w:pPr>
        <w:pStyle w:val="Normal"/>
        <w:framePr w:w="3266" w:hAnchor="page" w:vAnchor="page" w:x="4912" w:y="2255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TechnipFMC plc </w:t>
      </w:r>
    </w:p>
    <w:p>
      <w:pPr>
        <w:pStyle w:val="Normal"/>
        <w:framePr w:w="8514" w:hAnchor="page" w:vAnchor="page" w:x="2725" w:y="2034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Executive Vice President and Chief Financial Officer </w:t>
      </w:r>
    </w:p>
    <w:p>
      <w:pPr>
        <w:pStyle w:val="Normal"/>
        <w:framePr w:w="2576" w:hAnchor="page" w:vAnchor="page" w:x="5199" w:y="181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Alf Melin </w:t>
      </w:r>
    </w:p>
    <w:p>
      <w:pPr>
        <w:pStyle w:val="Normal"/>
        <w:framePr w:w="6581" w:hAnchor="page" w:vAnchor="page" w:x="3530" w:y="1370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November 8, 2023 </w:t>
      </w:r>
    </w:p>
    <w:p>
      <w:pPr>
        <w:pStyle w:val="Normal"/>
        <w:framePr w:w="7685" w:hAnchor="page" w:vAnchor="page" w:x="3070" w:y="4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United States securities and exchange commission logo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7pt;margin-top:1pt;z-index:-16777196;width:598pt;height:1005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</w:p>
    <w:p>
      <w:pPr>
        <w:pStyle w:val="Normal"/>
        <w:framePr w:w="2714" w:hAnchor="page" w:vAnchor="page" w:x="5084" w:y="7345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>FirstName LastName</w:t>
      </w:r>
    </w:p>
    <w:p>
      <w:pPr>
        <w:pStyle w:val="Normal"/>
        <w:framePr w:w="3680" w:hAnchor="page" w:vAnchor="page" w:x="4739" w:y="7124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cc:       Julia Thompson </w:t>
      </w:r>
    </w:p>
    <w:p>
      <w:pPr>
        <w:pStyle w:val="Normal"/>
        <w:framePr w:w="3542" w:hAnchor="page" w:vAnchor="page" w:x="4796" w:y="690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November 8, 2023 Page 2 </w:t>
      </w:r>
    </w:p>
    <w:p>
      <w:pPr>
        <w:pStyle w:val="Normal"/>
        <w:framePr w:w="1609" w:hAnchor="page" w:vAnchor="page" w:x="5545" w:y="6681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>Technology</w:t>
      </w:r>
    </w:p>
    <w:p>
      <w:pPr>
        <w:pStyle w:val="Normal"/>
        <w:framePr w:w="10033" w:hAnchor="page" w:vAnchor="page" w:x="2092" w:y="6460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     Office of </w:t>
      </w:r>
    </w:p>
    <w:p>
      <w:pPr>
        <w:pStyle w:val="Normal"/>
        <w:framePr w:w="4095" w:hAnchor="page" w:vAnchor="page" w:x="4566" w:y="6239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Comapany NameTechnipFMC plc </w:t>
      </w:r>
    </w:p>
    <w:p>
      <w:pPr>
        <w:pStyle w:val="Normal"/>
        <w:framePr w:w="2990" w:hAnchor="page" w:vAnchor="page" w:x="5027" w:y="6017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Corporation Finance </w:t>
      </w:r>
    </w:p>
    <w:p>
      <w:pPr>
        <w:pStyle w:val="Normal"/>
        <w:framePr w:w="10310" w:hAnchor="page" w:vAnchor="page" w:x="1977" w:y="5796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     Division of </w:t>
      </w:r>
    </w:p>
    <w:p>
      <w:pPr>
        <w:pStyle w:val="Normal"/>
        <w:framePr w:w="4095" w:hAnchor="page" w:vAnchor="page" w:x="4566" w:y="5575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FirstName LastNameAlf Melin </w:t>
      </w:r>
    </w:p>
    <w:p>
      <w:pPr>
        <w:pStyle w:val="Normal"/>
        <w:framePr w:w="10171" w:hAnchor="page" w:vAnchor="page" w:x="2034" w:y="5354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                                                      Sincerely, </w:t>
      </w:r>
    </w:p>
    <w:p>
      <w:pPr>
        <w:pStyle w:val="Normal"/>
        <w:framePr w:w="1471" w:hAnchor="page" w:vAnchor="page" w:x="5660" w:y="4468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matters. </w:t>
      </w:r>
    </w:p>
    <w:p>
      <w:pPr>
        <w:pStyle w:val="Normal"/>
        <w:framePr w:w="10448" w:hAnchor="page" w:vAnchor="page" w:x="1919" w:y="4247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have questions regarding comments on the financial statements and related </w:t>
      </w:r>
    </w:p>
    <w:p>
      <w:pPr>
        <w:pStyle w:val="Normal"/>
        <w:framePr w:w="2990" w:hAnchor="page" w:vAnchor="page" w:x="5027" w:y="4026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202-551-3499 if you </w:t>
      </w:r>
    </w:p>
    <w:p>
      <w:pPr>
        <w:pStyle w:val="Normal"/>
        <w:framePr w:w="9895" w:hAnchor="page" w:vAnchor="page" w:x="2150" w:y="3804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 Please contact Chen Chen at 202-551-735 or Kathleen Collins at </w:t>
      </w:r>
    </w:p>
    <w:p>
      <w:pPr>
        <w:pStyle w:val="Normal"/>
        <w:framePr w:w="3542" w:hAnchor="page" w:vAnchor="page" w:x="4796" w:y="358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operating income. </w:t>
      </w:r>
    </w:p>
    <w:p>
      <w:pPr>
        <w:pStyle w:val="Normal"/>
        <w:framePr w:w="1609" w:hAnchor="page" w:vAnchor="page" w:x="5602" w:y="3362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with GAAP </w:t>
      </w:r>
    </w:p>
    <w:p>
      <w:pPr>
        <w:pStyle w:val="Normal"/>
        <w:framePr w:w="10862" w:hAnchor="page" w:vAnchor="page" w:x="1747" w:y="3141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income, provide a separate reconciliation for such measure that begins </w:t>
      </w:r>
    </w:p>
    <w:p>
      <w:pPr>
        <w:pStyle w:val="Normal"/>
        <w:framePr w:w="1609" w:hAnchor="page" w:vAnchor="page" w:x="5602" w:y="2919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operating </w:t>
      </w:r>
    </w:p>
    <w:p>
      <w:pPr>
        <w:pStyle w:val="Normal"/>
        <w:framePr w:w="11138" w:hAnchor="page" w:vAnchor="page" w:x="1632" w:y="2698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reconciliation. To the extent you want to present a measure for non-GAAP </w:t>
      </w:r>
    </w:p>
    <w:p>
      <w:pPr>
        <w:pStyle w:val="Normal"/>
        <w:framePr w:w="2161" w:hAnchor="page" w:vAnchor="page" w:x="5372" w:y="2477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your proposed </w:t>
      </w:r>
    </w:p>
    <w:p>
      <w:pPr>
        <w:pStyle w:val="Normal"/>
        <w:framePr w:w="11138" w:hAnchor="page" w:vAnchor="page" w:x="1632" w:y="2255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measure of operating income. Therefore, please remove this subtotal from </w:t>
      </w:r>
    </w:p>
    <w:p>
      <w:pPr>
        <w:pStyle w:val="Normal"/>
        <w:framePr w:w="2438" w:hAnchor="page" w:vAnchor="page" w:x="5257" w:y="2034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comparable GAAP </w:t>
      </w:r>
    </w:p>
    <w:p>
      <w:pPr>
        <w:pStyle w:val="Normal"/>
        <w:framePr w:w="10033" w:hAnchor="page" w:vAnchor="page" w:x="2092" w:y="181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adjusted operating income is not reconciled to the most directly </w:t>
      </w:r>
    </w:p>
    <w:p>
      <w:pPr>
        <w:pStyle w:val="Normal"/>
        <w:framePr w:w="2023" w:hAnchor="page" w:vAnchor="page" w:x="5429" w:y="1592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as presented </w:t>
      </w:r>
    </w:p>
    <w:p>
      <w:pPr>
        <w:pStyle w:val="Normal"/>
        <w:framePr w:w="11276" w:hAnchor="page" w:vAnchor="page" w:x="1574" w:y="1370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in this reconciliation and what it is intended to convey. In this regard, </w:t>
      </w:r>
    </w:p>
    <w:p>
      <w:pPr>
        <w:pStyle w:val="Normal"/>
        <w:framePr w:w="4095" w:hAnchor="page" w:vAnchor="page" w:x="4566" w:y="1149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"adjusted operating profit" </w:t>
      </w:r>
    </w:p>
    <w:p>
      <w:pPr>
        <w:pStyle w:val="Normal"/>
        <w:framePr w:w="10171" w:hAnchor="page" w:vAnchor="page" w:x="2034" w:y="928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filings. Please explain further the inclusion of the subtotal for </w:t>
      </w:r>
    </w:p>
    <w:p>
      <w:pPr>
        <w:pStyle w:val="Normal"/>
        <w:framePr w:w="1609" w:hAnchor="page" w:vAnchor="page" w:x="5602" w:y="706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in future </w:t>
      </w:r>
    </w:p>
    <w:p>
      <w:pPr>
        <w:pStyle w:val="Normal"/>
        <w:framePr w:w="11000" w:hAnchor="page" w:vAnchor="page" w:x="1689" w:y="485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3.    We note the revised non-GAAP reconciliation that you propose to include </w:t>
      </w:r>
    </w:p>
    <w:p>
      <w:pPr>
        <w:pStyle w:val="Normal"/>
        <w:framePr w:w="8652" w:hAnchor="page" w:vAnchor="page" w:x="2667" w:y="264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      measure such that at tax adjustment was not necessary. </w:t>
      </w:r>
    </w:p>
    <w:p>
      <w:pPr>
        <w:pStyle w:val="Normal"/>
        <w:framePr w:w="1471" w:hAnchor="page" w:vAnchor="page" w:x="5660" w:y="43"/>
        <w:widowControl w:val="off"/>
        <w:autoSpaceDE w:val="off"/>
        <w:autoSpaceDN w:val="off"/>
        <w:spacing w:before="0" w:after="0" w:line="217" w:lineRule="exact"/>
        <w:ind w:left="0" w:right="0" w:first-line="0"/>
        <w:jc w:val="left"/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</w:pPr>
      <w:r>
        <w:rPr>
          <w:rFonts w:ascii="CourierNewPSMT" w:hAnsi="CourierNewPSMT" w:fareast="CourierNewPSMT" w:cs="CourierNewPSMT"/>
          <w:color w:val="000000"/>
          <w:w w:val="100"/>
          <w:sz w:val="19"/>
          <w:szCs w:val="19"/>
        </w:rPr>
        <w:t xml:space="preserve">non-GAAP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7pt;margin-top:1pt;z-index:-16777192;width:598pt;height:387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</w:p>
    <w:sectPr>
      <w:pgSz w:w="12240" w:h="20160"/>
      <w:pgMar w:top="400" w:right="400" w:bottom="400" w:left="400" w:header="720" w:footer="720"/>
      <w:pgNumType w:start="4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CourierNewPSMT">
    <w:panose-1>"02070309020205020404"</w:panose-1>
    <w:charset>
      <w:val>"01"</w:val>
    </w:charset>
    <w:family>"Modern"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f84bb018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webSettings.xml" Type="http://schemas.openxmlformats.org/officeDocument/2006/relationships/webSettings"/><Relationship Id="rId2" Target="media/image2.jpeg" Type="http://schemas.openxmlformats.org/officeDocument/2006/relationships/image"/><Relationship Id="rId3" Target="media/image3.png" Type="http://schemas.openxmlformats.org/officeDocument/2006/relationships/image"/><Relationship Id="rId4" Target="media/image4.jpeg" Type="http://schemas.openxmlformats.org/officeDocument/2006/relationships/image"/><Relationship Id="rId5" Target="media/image5.png" Type="http://schemas.openxmlformats.org/officeDocument/2006/relationships/image"/><Relationship Id="rId6" Target="media/image6.png" Type="http://schemas.openxmlformats.org/officeDocument/2006/relationships/image"/><Relationship Id="rId7" Target="styles.xml" Type="http://schemas.openxmlformats.org/officeDocument/2006/relationships/styles"/><Relationship Id="rId8" Target="fontTable.xml" Type="http://schemas.openxmlformats.org/officeDocument/2006/relationships/fontTable"/><Relationship Id="rId9" Target="settings.xml" Type="http://schemas.openxmlformats.org/officeDocument/2006/relationships/settings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4</Pages>
  <Words>585</Words>
  <Characters>3172</Characters>
  <Application>e-iceblue</Application>
  <DocSecurity>0</DocSecurity>
  <Lines>105</Lines>
  <Paragraphs>105</Paragraphs>
  <ScaleCrop>false</ScaleCrop>
  <Company>e-iceblue</Company>
  <LinksUpToDate>false</LinksUpToDate>
  <CharactersWithSpaces>5012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2024-01-11T23:15:32Z</dcterms:created>
  <dc:creator>root</dc:creator>
  <cp:lastModifiedBy>root</cp:lastModifiedBy>
  <dcterms:modified xsi:type="dcterms:W3CDTF">2024-01-11T23:15:32Z</dcterms:modified>
  <cp:revision>1</cp:revision>
</cp:coreProperties>
</file>