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Debon Marie-Ange</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TechnipFMC plc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FTI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01/17/2017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LONDON</w:t>
            </w:r>
          </w:p>
        </w:tc>
        <w:tc>
          <w:tcPr>
            <w:tcW w:w="1100" w:type="dxa"/>
            <w:vAlign w:val="bottom"/>
          </w:tcPr>
          <w:p>
            <w:pPr>
              <w:ind w:left="260"/>
              <w:spacing w:after="0"/>
              <w:rPr>
                <w:sz w:val="20"/>
                <w:szCs w:val="20"/>
                <w:color w:val="auto"/>
              </w:rPr>
            </w:pPr>
            <w:r>
              <w:rPr>
                <w:rFonts w:ascii="Arial" w:cs="Arial" w:eastAsia="Arial" w:hAnsi="Arial"/>
                <w:sz w:val="18"/>
                <w:szCs w:val="18"/>
                <w:color w:val="0000FF"/>
              </w:rPr>
              <w:t>X0</w:t>
            </w:r>
          </w:p>
        </w:tc>
        <w:tc>
          <w:tcPr>
            <w:tcW w:w="1680" w:type="dxa"/>
            <w:vAlign w:val="bottom"/>
          </w:tcPr>
          <w:p>
            <w:pPr>
              <w:ind w:left="420"/>
              <w:spacing w:after="0"/>
              <w:rPr>
                <w:sz w:val="20"/>
                <w:szCs w:val="20"/>
                <w:color w:val="auto"/>
              </w:rPr>
            </w:pPr>
            <w:r>
              <w:rPr>
                <w:rFonts w:ascii="Arial" w:cs="Arial" w:eastAsia="Arial" w:hAnsi="Arial"/>
                <w:sz w:val="18"/>
                <w:szCs w:val="18"/>
                <w:color w:val="0000FF"/>
              </w:rPr>
              <w:t>EC4M 8AP</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2"/>
          </w:tcPr>
          <w:p>
            <w:pPr>
              <w:ind w:left="74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4"/>
                <w:szCs w:val="14"/>
                <w:color w:val="auto"/>
              </w:rPr>
            </w:pPr>
          </w:p>
        </w:tc>
        <w:tc>
          <w:tcPr>
            <w:tcW w:w="170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40"/>
              <w:spacing w:after="0" w:line="133"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200" w:type="dxa"/>
            <w:vAlign w:val="bottom"/>
            <w:gridSpan w:val="8"/>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0" w:type="dxa"/>
            <w:vAlign w:val="bottom"/>
            <w:gridSpan w:val="2"/>
          </w:tcPr>
          <w:p>
            <w:pPr>
              <w:ind w:left="74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6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jc w:val="right"/>
              <w:ind w:right="2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7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60" w:type="dxa"/>
            <w:vAlign w:val="bottom"/>
            <w:gridSpan w:val="2"/>
          </w:tcPr>
          <w:p>
            <w:pPr>
              <w:ind w:left="60"/>
              <w:spacing w:after="0"/>
              <w:rPr>
                <w:sz w:val="20"/>
                <w:szCs w:val="20"/>
                <w:color w:val="auto"/>
              </w:rPr>
            </w:pPr>
            <w:r>
              <w:rPr>
                <w:rFonts w:ascii="Arial" w:cs="Arial" w:eastAsia="Arial" w:hAnsi="Arial"/>
                <w:sz w:val="18"/>
                <w:szCs w:val="18"/>
                <w:color w:val="0000FF"/>
              </w:rPr>
              <w:t>Ordinary Shares</w:t>
            </w:r>
          </w:p>
        </w:tc>
        <w:tc>
          <w:tcPr>
            <w:tcW w:w="1140" w:type="dxa"/>
            <w:vAlign w:val="bottom"/>
          </w:tcPr>
          <w:p>
            <w:pPr>
              <w:spacing w:after="0"/>
              <w:rPr>
                <w:sz w:val="23"/>
                <w:szCs w:val="23"/>
                <w:color w:val="auto"/>
              </w:rPr>
            </w:pPr>
          </w:p>
        </w:tc>
        <w:tc>
          <w:tcPr>
            <w:tcW w:w="1800" w:type="dxa"/>
            <w:vAlign w:val="bottom"/>
            <w:gridSpan w:val="2"/>
          </w:tcPr>
          <w:p>
            <w:pPr>
              <w:ind w:left="840"/>
              <w:spacing w:after="0"/>
              <w:rPr>
                <w:sz w:val="20"/>
                <w:szCs w:val="20"/>
                <w:color w:val="auto"/>
              </w:rPr>
            </w:pPr>
            <w:r>
              <w:rPr>
                <w:rFonts w:ascii="Arial" w:cs="Arial" w:eastAsia="Arial" w:hAnsi="Arial"/>
                <w:sz w:val="18"/>
                <w:szCs w:val="18"/>
                <w:color w:val="0000FF"/>
              </w:rPr>
              <w:t>01/17/2017</w:t>
            </w:r>
          </w:p>
        </w:tc>
        <w:tc>
          <w:tcPr>
            <w:tcW w:w="1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ind w:left="18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tcPr>
          <w:p>
            <w:pPr>
              <w:ind w:left="260"/>
              <w:spacing w:after="0"/>
              <w:rPr>
                <w:sz w:val="20"/>
                <w:szCs w:val="20"/>
                <w:color w:val="auto"/>
              </w:rPr>
            </w:pPr>
            <w:r>
              <w:rPr>
                <w:rFonts w:ascii="Arial" w:cs="Arial" w:eastAsia="Arial" w:hAnsi="Arial"/>
                <w:sz w:val="18"/>
                <w:szCs w:val="18"/>
                <w:color w:val="0000FF"/>
                <w:w w:val="93"/>
              </w:rPr>
              <w:t>830</w:t>
            </w:r>
          </w:p>
        </w:tc>
        <w:tc>
          <w:tcPr>
            <w:tcW w:w="760" w:type="dxa"/>
            <w:vAlign w:val="bottom"/>
          </w:tcPr>
          <w:p>
            <w:pPr>
              <w:ind w:left="440"/>
              <w:spacing w:after="0"/>
              <w:rPr>
                <w:sz w:val="20"/>
                <w:szCs w:val="20"/>
                <w:color w:val="auto"/>
              </w:rPr>
            </w:pPr>
            <w:r>
              <w:rPr>
                <w:rFonts w:ascii="Arial" w:cs="Arial" w:eastAsia="Arial" w:hAnsi="Arial"/>
                <w:sz w:val="18"/>
                <w:szCs w:val="18"/>
                <w:color w:val="0000FF"/>
              </w:rPr>
              <w:t>A</w:t>
            </w:r>
          </w:p>
        </w:tc>
        <w:tc>
          <w:tcPr>
            <w:tcW w:w="240" w:type="dxa"/>
            <w:vAlign w:val="bottom"/>
          </w:tcPr>
          <w:p>
            <w:pPr>
              <w:spacing w:after="0"/>
              <w:rPr>
                <w:sz w:val="23"/>
                <w:szCs w:val="23"/>
                <w:color w:val="auto"/>
              </w:rPr>
            </w:pPr>
          </w:p>
        </w:tc>
        <w:tc>
          <w:tcPr>
            <w:tcW w:w="140" w:type="dxa"/>
            <w:vAlign w:val="bottom"/>
            <w:gridSpan w:val="2"/>
          </w:tcPr>
          <w:p>
            <w:pPr>
              <w:jc w:val="right"/>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800" w:type="dxa"/>
            <w:vAlign w:val="bottom"/>
          </w:tcPr>
          <w:p>
            <w:pPr>
              <w:ind w:left="20"/>
              <w:spacing w:after="0"/>
              <w:rPr>
                <w:sz w:val="20"/>
                <w:szCs w:val="20"/>
                <w:color w:val="auto"/>
              </w:rPr>
            </w:pPr>
            <w:r>
              <w:rPr>
                <w:rFonts w:ascii="Arial" w:cs="Arial" w:eastAsia="Arial" w:hAnsi="Arial"/>
                <w:sz w:val="18"/>
                <w:szCs w:val="18"/>
                <w:color w:val="0000FF"/>
              </w:rPr>
              <w:t>830</w:t>
            </w:r>
          </w:p>
        </w:tc>
        <w:tc>
          <w:tcPr>
            <w:tcW w:w="920" w:type="dxa"/>
            <w:vAlign w:val="bottom"/>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80" w:type="dxa"/>
            <w:vAlign w:val="bottom"/>
            <w:tcBorders>
              <w:bottom w:val="single" w:sz="8" w:color="2C2C2C"/>
            </w:tcBorders>
            <w:gridSpan w:val="6"/>
          </w:tcPr>
          <w:p>
            <w:pPr>
              <w:spacing w:after="0"/>
              <w:rPr>
                <w:sz w:val="8"/>
                <w:szCs w:val="8"/>
                <w:color w:val="auto"/>
              </w:rPr>
            </w:pPr>
          </w:p>
        </w:tc>
        <w:tc>
          <w:tcPr>
            <w:tcW w:w="2500" w:type="dxa"/>
            <w:vAlign w:val="bottom"/>
            <w:tcBorders>
              <w:bottom w:val="single" w:sz="8" w:color="2C2C2C"/>
            </w:tcBorders>
            <w:gridSpan w:val="6"/>
          </w:tcPr>
          <w:p>
            <w:pPr>
              <w:spacing w:after="0"/>
              <w:rPr>
                <w:sz w:val="8"/>
                <w:szCs w:val="8"/>
                <w:color w:val="auto"/>
              </w:rPr>
            </w:pPr>
          </w:p>
        </w:tc>
        <w:tc>
          <w:tcPr>
            <w:tcW w:w="280" w:type="dxa"/>
            <w:vAlign w:val="bottom"/>
            <w:tcBorders>
              <w:bottom w:val="single" w:sz="8" w:color="2C2C2C"/>
            </w:tcBorders>
            <w:gridSpan w:val="2"/>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20" w:type="dxa"/>
            <w:vAlign w:val="bottom"/>
            <w:tcBorders>
              <w:top w:val="single" w:sz="8" w:color="2C2C2C"/>
            </w:tcBorders>
            <w:gridSpan w:val="15"/>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80" w:type="dxa"/>
            <w:vAlign w:val="bottom"/>
            <w:gridSpan w:val="12"/>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1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2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0" w:type="dxa"/>
            <w:vAlign w:val="bottom"/>
            <w:gridSpan w:val="2"/>
          </w:tcPr>
          <w:p>
            <w:pPr>
              <w:ind w:left="5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0" w:type="dxa"/>
            <w:vAlign w:val="bottom"/>
            <w:gridSpan w:val="2"/>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jc w:val="both"/>
        <w:ind w:left="40" w:right="10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Pursuant to the Business Combination Agreement, dated as of June 14, 2016 (the "BCA") by and among the Issuer, FMC Technologies, Inc. ("FMCTI") and Technip S.A. ("Technip"), each ordinary share of Technip beneficially owned by the Reporting Person at the effective time of the transactions contemplated by the BCA (the Effective Time) was exchanged for 2.00 ordinary shares of the Issuer (the Exchange Ratio).</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Lisa P. Wang, Attorney-In-Fact 01/18/2017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957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spacing w:after="0" w:line="51"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94548"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2019-12-04T02:38:44Z</dcterms:created>
  <dcterms:modified xsi:type="dcterms:W3CDTF">2019-12-04T02:38:44Z</dcterms:modified>
</cp:coreProperties>
</file>