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-648335</wp:posOffset>
            </wp:positionV>
            <wp:extent cx="59055" cy="661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670"/>
                    </a:xfrm>
                    <a:prstGeom prst="rect">
                      <a:avLst/>
                    </a:prstGeom>
                    <a:noFill/>
                  </pic:spPr>
                </pic:pic>
              </a:graphicData>
            </a:graphic>
          </wp:anchor>
        </w:drawing>
        <w:drawing>
          <wp:anchor simplePos="0" relativeHeight="251657728" behindDoc="1" locked="0" layoutInCell="0" allowOverlap="1">
            <wp:simplePos x="0" y="0"/>
            <wp:positionH relativeFrom="column">
              <wp:posOffset>4137660</wp:posOffset>
            </wp:positionH>
            <wp:positionV relativeFrom="paragraph">
              <wp:posOffset>-648335</wp:posOffset>
            </wp:positionV>
            <wp:extent cx="59055" cy="661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67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20320</wp:posOffset>
            </wp:positionV>
            <wp:extent cx="7323455" cy="54063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406390"/>
                    </a:xfrm>
                    <a:prstGeom prst="rect">
                      <a:avLst/>
                    </a:prstGeom>
                    <a:noFill/>
                  </pic:spPr>
                </pic:pic>
              </a:graphicData>
            </a:graphic>
          </wp:anchor>
        </w:drawing>
      </w:r>
    </w:p>
    <w:p>
      <w:pPr>
        <w:spacing w:after="0" w:line="103"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Hasselknippe Hallvard</w:t>
        </w:r>
      </w:hyperlink>
    </w:p>
    <w:p>
      <w:pPr>
        <w:spacing w:after="0" w:line="323"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TECHNIPFMC PLC</w:t>
      </w:r>
    </w:p>
    <w:p>
      <w:pPr>
        <w:spacing w:after="0" w:line="7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01/17/2017</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7" w:right="660" w:hanging="7"/>
        <w:spacing w:after="0" w:line="254" w:lineRule="auto"/>
        <w:tabs>
          <w:tab w:leader="none" w:pos="15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7" w:type="dxa"/>
        <w:tblCellMar>
          <w:top w:w="0" w:type="dxa"/>
          <w:left w:w="0" w:type="dxa"/>
          <w:bottom w:w="0" w:type="dxa"/>
          <w:right w:w="0" w:type="dxa"/>
        </w:tblCellMar>
      </w:tblPr>
      <w:tr>
        <w:trPr>
          <w:trHeight w:val="161"/>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027"/>
        <w:spacing w:after="0"/>
        <w:rPr>
          <w:sz w:val="20"/>
          <w:szCs w:val="20"/>
          <w:color w:val="auto"/>
        </w:rPr>
      </w:pPr>
      <w:r>
        <w:rPr>
          <w:rFonts w:ascii="Arial" w:cs="Arial" w:eastAsia="Arial" w:hAnsi="Arial"/>
          <w:sz w:val="17"/>
          <w:szCs w:val="17"/>
          <w:color w:val="0000FF"/>
        </w:rPr>
        <w:t>President, Subsea</w:t>
      </w:r>
    </w:p>
    <w:p>
      <w:pPr>
        <w:spacing w:after="0" w:line="404" w:lineRule="exact"/>
        <w:rPr>
          <w:sz w:val="24"/>
          <w:szCs w:val="24"/>
          <w:color w:val="auto"/>
        </w:rPr>
      </w:pPr>
    </w:p>
    <w:p>
      <w:pPr>
        <w:sectPr>
          <w:pgSz w:w="11900" w:h="16838" w:orient="portrait"/>
          <w:cols w:equalWidth="0" w:num="3">
            <w:col w:w="3360" w:space="720"/>
            <w:col w:w="3253" w:space="720"/>
            <w:col w:w="3467"/>
          </w:cols>
          <w:pgMar w:left="240" w:top="225"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000" w:type="dxa"/>
            <w:vAlign w:val="bottom"/>
            <w:tcBorders>
              <w:bottom w:val="single" w:sz="8" w:color="9A9A9A"/>
            </w:tcBorders>
          </w:tcPr>
          <w:p>
            <w:pPr>
              <w:spacing w:after="0"/>
              <w:rPr>
                <w:sz w:val="15"/>
                <w:szCs w:val="15"/>
                <w:color w:val="auto"/>
              </w:rPr>
            </w:pPr>
          </w:p>
        </w:tc>
        <w:tc>
          <w:tcPr>
            <w:tcW w:w="116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3880" w:type="dxa"/>
            <w:vAlign w:val="bottom"/>
            <w:gridSpan w:val="8"/>
          </w:tcPr>
          <w:p>
            <w:pPr>
              <w:jc w:val="center"/>
              <w:ind w:right="65"/>
              <w:spacing w:after="0"/>
              <w:rPr>
                <w:sz w:val="20"/>
                <w:szCs w:val="20"/>
                <w:color w:val="auto"/>
              </w:rPr>
            </w:pPr>
            <w:r>
              <w:rPr>
                <w:rFonts w:ascii="Arial" w:cs="Arial" w:eastAsia="Arial" w:hAnsi="Arial"/>
                <w:sz w:val="13"/>
                <w:szCs w:val="13"/>
                <w:color w:val="auto"/>
              </w:rPr>
              <w:t>4. If Amendment, Date of Original Filed (Month/Day/Year)</w:t>
            </w:r>
          </w:p>
        </w:tc>
        <w:tc>
          <w:tcPr>
            <w:tcW w:w="3740" w:type="dxa"/>
            <w:vAlign w:val="bottom"/>
            <w:gridSpan w:val="10"/>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320" w:type="dxa"/>
            <w:vAlign w:val="bottom"/>
            <w:gridSpan w:val="4"/>
          </w:tcPr>
          <w:p>
            <w:pPr>
              <w:ind w:left="28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460" w:type="dxa"/>
            <w:vAlign w:val="bottom"/>
          </w:tcPr>
          <w:p>
            <w:pPr>
              <w:spacing w:after="0"/>
              <w:rPr>
                <w:sz w:val="9"/>
                <w:szCs w:val="9"/>
                <w:color w:val="auto"/>
              </w:rPr>
            </w:pPr>
          </w:p>
        </w:tc>
        <w:tc>
          <w:tcPr>
            <w:tcW w:w="3280" w:type="dxa"/>
            <w:vAlign w:val="bottom"/>
            <w:gridSpan w:val="9"/>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vMerge w:val="restart"/>
          </w:tcPr>
          <w:p>
            <w:pPr>
              <w:spacing w:after="0"/>
              <w:rPr>
                <w:sz w:val="20"/>
                <w:szCs w:val="20"/>
                <w:color w:val="auto"/>
              </w:rPr>
            </w:pPr>
            <w:r>
              <w:rPr>
                <w:rFonts w:ascii="Arial" w:cs="Arial" w:eastAsia="Arial" w:hAnsi="Arial"/>
                <w:sz w:val="17"/>
                <w:szCs w:val="17"/>
                <w:color w:val="0000FF"/>
              </w:rPr>
              <w:t>LONDON</w:t>
            </w:r>
          </w:p>
        </w:tc>
        <w:tc>
          <w:tcPr>
            <w:tcW w:w="220" w:type="dxa"/>
            <w:vAlign w:val="bottom"/>
            <w:vMerge w:val="restart"/>
          </w:tcPr>
          <w:p>
            <w:pPr>
              <w:spacing w:after="0"/>
              <w:rPr>
                <w:sz w:val="20"/>
                <w:szCs w:val="20"/>
                <w:color w:val="auto"/>
              </w:rPr>
            </w:pPr>
            <w:r>
              <w:rPr>
                <w:rFonts w:ascii="Arial" w:cs="Arial" w:eastAsia="Arial" w:hAnsi="Arial"/>
                <w:sz w:val="17"/>
                <w:szCs w:val="17"/>
                <w:color w:val="0000FF"/>
                <w:w w:val="95"/>
              </w:rPr>
              <w:t>X0</w:t>
            </w:r>
          </w:p>
        </w:tc>
        <w:tc>
          <w:tcPr>
            <w:tcW w:w="1000" w:type="dxa"/>
            <w:vAlign w:val="bottom"/>
          </w:tcPr>
          <w:p>
            <w:pPr>
              <w:spacing w:after="0"/>
              <w:rPr>
                <w:sz w:val="11"/>
                <w:szCs w:val="11"/>
                <w:color w:val="auto"/>
              </w:rPr>
            </w:pPr>
          </w:p>
        </w:tc>
        <w:tc>
          <w:tcPr>
            <w:tcW w:w="1160" w:type="dxa"/>
            <w:vAlign w:val="bottom"/>
            <w:vMerge w:val="restart"/>
          </w:tcPr>
          <w:p>
            <w:pPr>
              <w:ind w:left="40"/>
              <w:spacing w:after="0"/>
              <w:rPr>
                <w:sz w:val="20"/>
                <w:szCs w:val="20"/>
                <w:color w:val="auto"/>
              </w:rPr>
            </w:pPr>
            <w:r>
              <w:rPr>
                <w:rFonts w:ascii="Arial" w:cs="Arial" w:eastAsia="Arial" w:hAnsi="Arial"/>
                <w:sz w:val="17"/>
                <w:szCs w:val="17"/>
                <w:color w:val="0000FF"/>
              </w:rPr>
              <w:t>EC4M 8AP</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8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220" w:type="dxa"/>
            <w:vAlign w:val="bottom"/>
            <w:vMerge w:val="continue"/>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30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460" w:type="dxa"/>
            <w:vAlign w:val="bottom"/>
          </w:tcPr>
          <w:p>
            <w:pPr>
              <w:spacing w:after="0"/>
              <w:rPr>
                <w:sz w:val="8"/>
                <w:szCs w:val="8"/>
                <w:color w:val="auto"/>
              </w:rPr>
            </w:pPr>
          </w:p>
        </w:tc>
        <w:tc>
          <w:tcPr>
            <w:tcW w:w="60" w:type="dxa"/>
            <w:vAlign w:val="bottom"/>
          </w:tcPr>
          <w:p>
            <w:pPr>
              <w:spacing w:after="0"/>
              <w:rPr>
                <w:sz w:val="8"/>
                <w:szCs w:val="8"/>
                <w:color w:val="auto"/>
              </w:rPr>
            </w:pPr>
          </w:p>
        </w:tc>
        <w:tc>
          <w:tcPr>
            <w:tcW w:w="160" w:type="dxa"/>
            <w:vAlign w:val="bottom"/>
          </w:tcPr>
          <w:p>
            <w:pPr>
              <w:spacing w:after="0"/>
              <w:rPr>
                <w:sz w:val="8"/>
                <w:szCs w:val="8"/>
                <w:color w:val="auto"/>
              </w:rPr>
            </w:pPr>
          </w:p>
        </w:tc>
        <w:tc>
          <w:tcPr>
            <w:tcW w:w="30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0" w:type="dxa"/>
            <w:vAlign w:val="bottom"/>
            <w:vMerge w:val="restart"/>
          </w:tcPr>
          <w:p>
            <w:pPr>
              <w:spacing w:after="0"/>
              <w:rPr>
                <w:sz w:val="5"/>
                <w:szCs w:val="5"/>
                <w:color w:val="auto"/>
              </w:rPr>
            </w:pPr>
          </w:p>
        </w:tc>
        <w:tc>
          <w:tcPr>
            <w:tcW w:w="160" w:type="dxa"/>
            <w:vAlign w:val="bottom"/>
            <w:vMerge w:val="restart"/>
          </w:tcPr>
          <w:p>
            <w:pPr>
              <w:spacing w:after="0"/>
              <w:rPr>
                <w:sz w:val="5"/>
                <w:szCs w:val="5"/>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6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16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4"/>
          </w:tcPr>
          <w:p>
            <w:pPr>
              <w:spacing w:after="0"/>
              <w:rPr>
                <w:sz w:val="11"/>
                <w:szCs w:val="11"/>
                <w:color w:val="auto"/>
              </w:rPr>
            </w:pPr>
          </w:p>
        </w:tc>
        <w:tc>
          <w:tcPr>
            <w:tcW w:w="2680" w:type="dxa"/>
            <w:vAlign w:val="bottom"/>
            <w:tcBorders>
              <w:bottom w:val="single" w:sz="8" w:color="2C2C2C"/>
            </w:tcBorders>
            <w:gridSpan w:val="6"/>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7480" w:type="dxa"/>
            <w:vAlign w:val="bottom"/>
            <w:tcBorders>
              <w:top w:val="single" w:sz="8" w:color="2C2C2C"/>
            </w:tcBorders>
            <w:gridSpan w:val="15"/>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80" w:type="dxa"/>
            <w:vAlign w:val="bottom"/>
          </w:tcPr>
          <w:p>
            <w:pPr>
              <w:spacing w:after="0"/>
              <w:rPr>
                <w:sz w:val="15"/>
                <w:szCs w:val="15"/>
                <w:color w:val="auto"/>
              </w:rPr>
            </w:pP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272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600" w:type="dxa"/>
            <w:vAlign w:val="bottom"/>
          </w:tcPr>
          <w:p>
            <w:pPr>
              <w:spacing w:after="0"/>
              <w:rPr>
                <w:sz w:val="11"/>
                <w:szCs w:val="11"/>
                <w:color w:val="auto"/>
              </w:rPr>
            </w:pP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920" w:type="dxa"/>
            <w:vAlign w:val="bottom"/>
            <w:gridSpan w:val="3"/>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1"/>
                <w:szCs w:val="11"/>
                <w:color w:val="auto"/>
              </w:rPr>
            </w:pPr>
          </w:p>
        </w:tc>
        <w:tc>
          <w:tcPr>
            <w:tcW w:w="580" w:type="dxa"/>
            <w:vAlign w:val="bottom"/>
          </w:tcPr>
          <w:p>
            <w:pPr>
              <w:ind w:left="180"/>
              <w:spacing w:after="0" w:line="134" w:lineRule="exact"/>
              <w:rPr>
                <w:sz w:val="20"/>
                <w:szCs w:val="20"/>
                <w:color w:val="auto"/>
              </w:rPr>
            </w:pPr>
            <w:r>
              <w:rPr>
                <w:rFonts w:ascii="Arial" w:cs="Arial" w:eastAsia="Arial" w:hAnsi="Arial"/>
                <w:sz w:val="12"/>
                <w:szCs w:val="12"/>
                <w:b w:val="1"/>
                <w:bCs w:val="1"/>
                <w:color w:val="auto"/>
              </w:rPr>
              <w:t>(A) or</w:t>
            </w:r>
          </w:p>
        </w:tc>
        <w:tc>
          <w:tcPr>
            <w:tcW w:w="4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46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22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ind w:left="920"/>
              <w:spacing w:after="0"/>
              <w:rPr>
                <w:sz w:val="20"/>
                <w:szCs w:val="20"/>
                <w:color w:val="auto"/>
              </w:rPr>
            </w:pPr>
            <w:r>
              <w:rPr>
                <w:rFonts w:ascii="Arial" w:cs="Arial" w:eastAsia="Arial" w:hAnsi="Arial"/>
                <w:sz w:val="17"/>
                <w:szCs w:val="17"/>
                <w:color w:val="0000FF"/>
              </w:rPr>
              <w:t>01/17/2017</w:t>
            </w:r>
          </w:p>
        </w:tc>
        <w:tc>
          <w:tcPr>
            <w:tcW w:w="7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20" w:type="dxa"/>
            <w:vAlign w:val="bottom"/>
            <w:tcBorders>
              <w:bottom w:val="single" w:sz="8" w:color="2C2C2C"/>
            </w:tcBorders>
            <w:gridSpan w:val="2"/>
          </w:tcPr>
          <w:p>
            <w:pPr>
              <w:jc w:val="center"/>
              <w:ind w:left="70"/>
              <w:spacing w:after="0"/>
              <w:rPr>
                <w:sz w:val="20"/>
                <w:szCs w:val="20"/>
                <w:color w:val="auto"/>
              </w:rPr>
            </w:pPr>
            <w:r>
              <w:rPr>
                <w:rFonts w:ascii="Arial" w:cs="Arial" w:eastAsia="Arial" w:hAnsi="Arial"/>
                <w:sz w:val="17"/>
                <w:szCs w:val="17"/>
                <w:color w:val="0000FF"/>
                <w:w w:val="85"/>
              </w:rPr>
              <w:t>13,600</w:t>
            </w:r>
            <w:r>
              <w:rPr>
                <w:rFonts w:ascii="Arial" w:cs="Arial" w:eastAsia="Arial" w:hAnsi="Arial"/>
                <w:sz w:val="22"/>
                <w:szCs w:val="22"/>
                <w:color w:val="008000"/>
                <w:w w:val="85"/>
                <w:vertAlign w:val="superscript"/>
              </w:rPr>
              <w:t>(1)</w:t>
            </w:r>
          </w:p>
        </w:tc>
        <w:tc>
          <w:tcPr>
            <w:tcW w:w="58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46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1460" w:type="dxa"/>
            <w:vAlign w:val="bottom"/>
            <w:tcBorders>
              <w:bottom w:val="single" w:sz="8" w:color="2C2C2C"/>
            </w:tcBorders>
            <w:gridSpan w:val="4"/>
          </w:tcPr>
          <w:p>
            <w:pPr>
              <w:jc w:val="center"/>
              <w:ind w:left="58"/>
              <w:spacing w:after="0"/>
              <w:rPr>
                <w:sz w:val="20"/>
                <w:szCs w:val="20"/>
                <w:color w:val="auto"/>
              </w:rPr>
            </w:pPr>
            <w:r>
              <w:rPr>
                <w:rFonts w:ascii="Arial" w:cs="Arial" w:eastAsia="Arial" w:hAnsi="Arial"/>
                <w:sz w:val="17"/>
                <w:szCs w:val="17"/>
                <w:color w:val="0000FF"/>
                <w:w w:val="92"/>
              </w:rPr>
              <w:t>30,710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22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ind w:left="920"/>
              <w:spacing w:after="0"/>
              <w:rPr>
                <w:sz w:val="20"/>
                <w:szCs w:val="20"/>
                <w:color w:val="auto"/>
              </w:rPr>
            </w:pPr>
            <w:r>
              <w:rPr>
                <w:rFonts w:ascii="Arial" w:cs="Arial" w:eastAsia="Arial" w:hAnsi="Arial"/>
                <w:sz w:val="17"/>
                <w:szCs w:val="17"/>
                <w:color w:val="0000FF"/>
              </w:rPr>
              <w:t>04/24/2017</w:t>
            </w:r>
          </w:p>
        </w:tc>
        <w:tc>
          <w:tcPr>
            <w:tcW w:w="7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jc w:val="center"/>
              <w:ind w:left="130"/>
              <w:spacing w:after="0"/>
              <w:rPr>
                <w:sz w:val="20"/>
                <w:szCs w:val="20"/>
                <w:color w:val="auto"/>
              </w:rPr>
            </w:pPr>
            <w:r>
              <w:rPr>
                <w:rFonts w:ascii="Arial" w:cs="Arial" w:eastAsia="Arial" w:hAnsi="Arial"/>
                <w:sz w:val="17"/>
                <w:szCs w:val="17"/>
                <w:color w:val="0000FF"/>
                <w:w w:val="85"/>
              </w:rPr>
              <w:t>8,600</w:t>
            </w:r>
            <w:r>
              <w:rPr>
                <w:rFonts w:ascii="Arial" w:cs="Arial" w:eastAsia="Arial" w:hAnsi="Arial"/>
                <w:sz w:val="22"/>
                <w:szCs w:val="22"/>
                <w:color w:val="008000"/>
                <w:w w:val="85"/>
                <w:vertAlign w:val="superscript"/>
              </w:rPr>
              <w:t>(2)</w:t>
            </w:r>
          </w:p>
        </w:tc>
        <w:tc>
          <w:tcPr>
            <w:tcW w:w="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46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1460" w:type="dxa"/>
            <w:vAlign w:val="bottom"/>
            <w:tcBorders>
              <w:bottom w:val="single" w:sz="8" w:color="2C2C2C"/>
            </w:tcBorders>
            <w:gridSpan w:val="4"/>
          </w:tcPr>
          <w:p>
            <w:pPr>
              <w:jc w:val="center"/>
              <w:ind w:left="78"/>
              <w:spacing w:after="0"/>
              <w:rPr>
                <w:sz w:val="20"/>
                <w:szCs w:val="20"/>
                <w:color w:val="auto"/>
              </w:rPr>
            </w:pPr>
            <w:r>
              <w:rPr>
                <w:rFonts w:ascii="Arial" w:cs="Arial" w:eastAsia="Arial" w:hAnsi="Arial"/>
                <w:sz w:val="17"/>
                <w:szCs w:val="17"/>
                <w:color w:val="0000FF"/>
                <w:w w:val="88"/>
              </w:rPr>
              <w:t>47,045</w:t>
            </w:r>
            <w:r>
              <w:rPr>
                <w:rFonts w:ascii="Arial" w:cs="Arial" w:eastAsia="Arial" w:hAnsi="Arial"/>
                <w:sz w:val="22"/>
                <w:szCs w:val="22"/>
                <w:color w:val="008000"/>
                <w:w w:val="88"/>
                <w:vertAlign w:val="superscript"/>
              </w:rPr>
              <w:t>(3)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22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ind w:left="920"/>
              <w:spacing w:after="0"/>
              <w:rPr>
                <w:sz w:val="20"/>
                <w:szCs w:val="20"/>
                <w:color w:val="auto"/>
              </w:rPr>
            </w:pPr>
            <w:r>
              <w:rPr>
                <w:rFonts w:ascii="Arial" w:cs="Arial" w:eastAsia="Arial" w:hAnsi="Arial"/>
                <w:sz w:val="17"/>
                <w:szCs w:val="17"/>
                <w:color w:val="0000FF"/>
              </w:rPr>
              <w:t>02/19/2018</w:t>
            </w:r>
          </w:p>
        </w:tc>
        <w:tc>
          <w:tcPr>
            <w:tcW w:w="7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20" w:type="dxa"/>
            <w:vAlign w:val="bottom"/>
            <w:tcBorders>
              <w:bottom w:val="single" w:sz="8" w:color="2C2C2C"/>
            </w:tcBorders>
            <w:gridSpan w:val="2"/>
          </w:tcPr>
          <w:p>
            <w:pPr>
              <w:jc w:val="center"/>
              <w:ind w:left="70"/>
              <w:spacing w:after="0"/>
              <w:rPr>
                <w:sz w:val="20"/>
                <w:szCs w:val="20"/>
                <w:color w:val="auto"/>
              </w:rPr>
            </w:pPr>
            <w:r>
              <w:rPr>
                <w:rFonts w:ascii="Arial" w:cs="Arial" w:eastAsia="Arial" w:hAnsi="Arial"/>
                <w:sz w:val="17"/>
                <w:szCs w:val="17"/>
                <w:color w:val="0000FF"/>
                <w:w w:val="85"/>
              </w:rPr>
              <w:t>12,800</w:t>
            </w:r>
            <w:r>
              <w:rPr>
                <w:rFonts w:ascii="Arial" w:cs="Arial" w:eastAsia="Arial" w:hAnsi="Arial"/>
                <w:sz w:val="22"/>
                <w:szCs w:val="22"/>
                <w:color w:val="008000"/>
                <w:w w:val="85"/>
                <w:vertAlign w:val="superscript"/>
              </w:rPr>
              <w:t>(4)</w:t>
            </w:r>
          </w:p>
        </w:tc>
        <w:tc>
          <w:tcPr>
            <w:tcW w:w="58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46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1460" w:type="dxa"/>
            <w:vAlign w:val="bottom"/>
            <w:tcBorders>
              <w:bottom w:val="single" w:sz="8" w:color="2C2C2C"/>
            </w:tcBorders>
            <w:gridSpan w:val="4"/>
          </w:tcPr>
          <w:p>
            <w:pPr>
              <w:jc w:val="center"/>
              <w:ind w:left="58"/>
              <w:spacing w:after="0"/>
              <w:rPr>
                <w:sz w:val="20"/>
                <w:szCs w:val="20"/>
                <w:color w:val="auto"/>
              </w:rPr>
            </w:pPr>
            <w:r>
              <w:rPr>
                <w:rFonts w:ascii="Arial" w:cs="Arial" w:eastAsia="Arial" w:hAnsi="Arial"/>
                <w:sz w:val="17"/>
                <w:szCs w:val="17"/>
                <w:color w:val="0000FF"/>
                <w:w w:val="92"/>
              </w:rPr>
              <w:t>59,845</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4"/>
          </w:tcPr>
          <w:p>
            <w:pPr>
              <w:jc w:val="center"/>
              <w:ind w:right="118"/>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620" w:type="dxa"/>
            <w:vAlign w:val="bottom"/>
            <w:gridSpan w:val="11"/>
          </w:tcPr>
          <w:p>
            <w:pPr>
              <w:jc w:val="center"/>
              <w:ind w:left="608"/>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4"/>
                <w:szCs w:val="14"/>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10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w w:val="98"/>
              </w:rPr>
              <w:t>7. Title and</w:t>
            </w: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7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w w:val="97"/>
              </w:rPr>
              <w:t>Derivative</w:t>
            </w:r>
          </w:p>
        </w:tc>
        <w:tc>
          <w:tcPr>
            <w:tcW w:w="280" w:type="dxa"/>
            <w:vAlign w:val="bottom"/>
          </w:tcPr>
          <w:p>
            <w:pPr>
              <w:spacing w:after="0"/>
              <w:rPr>
                <w:sz w:val="11"/>
                <w:szCs w:val="11"/>
                <w:color w:val="auto"/>
              </w:rPr>
            </w:pPr>
          </w:p>
        </w:tc>
        <w:tc>
          <w:tcPr>
            <w:tcW w:w="158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Amount of</w:t>
            </w: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158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w w:val="98"/>
              </w:rPr>
              <w:t>Underlying</w:t>
            </w: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line="134" w:lineRule="exact"/>
              <w:rPr>
                <w:sz w:val="20"/>
                <w:szCs w:val="20"/>
                <w:color w:val="auto"/>
              </w:rPr>
            </w:pPr>
            <w:r>
              <w:rPr>
                <w:rFonts w:ascii="Arial" w:cs="Arial" w:eastAsia="Arial" w:hAnsi="Arial"/>
                <w:sz w:val="12"/>
                <w:szCs w:val="12"/>
                <w:b w:val="1"/>
                <w:bCs w:val="1"/>
                <w:color w:val="auto"/>
                <w:w w:val="96"/>
              </w:rPr>
              <w:t>Amount</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line="134" w:lineRule="exact"/>
              <w:rPr>
                <w:sz w:val="20"/>
                <w:szCs w:val="20"/>
                <w:color w:val="auto"/>
              </w:rPr>
            </w:pPr>
            <w:r>
              <w:rPr>
                <w:rFonts w:ascii="Arial" w:cs="Arial" w:eastAsia="Arial" w:hAnsi="Arial"/>
                <w:sz w:val="12"/>
                <w:szCs w:val="12"/>
                <w:b w:val="1"/>
                <w:bCs w:val="1"/>
                <w:color w:val="auto"/>
                <w:w w:val="96"/>
              </w:rPr>
              <w:t>Number</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Expiration</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46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Option</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(5)</w:t>
            </w:r>
          </w:p>
        </w:tc>
        <w:tc>
          <w:tcPr>
            <w:tcW w:w="220" w:type="dxa"/>
            <w:vAlign w:val="bottom"/>
          </w:tcPr>
          <w:p>
            <w:pPr>
              <w:spacing w:after="0"/>
              <w:rPr>
                <w:sz w:val="12"/>
                <w:szCs w:val="12"/>
                <w:color w:val="auto"/>
              </w:rPr>
            </w:pPr>
          </w:p>
        </w:tc>
        <w:tc>
          <w:tcPr>
            <w:tcW w:w="1000" w:type="dxa"/>
            <w:vAlign w:val="bottom"/>
            <w:vMerge w:val="restart"/>
          </w:tcPr>
          <w:p>
            <w:pPr>
              <w:ind w:left="180"/>
              <w:spacing w:after="0"/>
              <w:rPr>
                <w:sz w:val="20"/>
                <w:szCs w:val="20"/>
                <w:color w:val="auto"/>
              </w:rPr>
            </w:pPr>
            <w:r>
              <w:rPr>
                <w:rFonts w:ascii="Arial" w:cs="Arial" w:eastAsia="Arial" w:hAnsi="Arial"/>
                <w:sz w:val="13"/>
                <w:szCs w:val="13"/>
                <w:color w:val="0000FF"/>
              </w:rPr>
              <w:t>01/17/2017</w:t>
            </w: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vMerge w:val="restart"/>
          </w:tcPr>
          <w:p>
            <w:pPr>
              <w:ind w:left="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ind w:left="160"/>
              <w:spacing w:after="0"/>
              <w:rPr>
                <w:sz w:val="20"/>
                <w:szCs w:val="20"/>
                <w:color w:val="auto"/>
              </w:rPr>
            </w:pPr>
            <w:r>
              <w:rPr>
                <w:rFonts w:ascii="Arial" w:cs="Arial" w:eastAsia="Arial" w:hAnsi="Arial"/>
                <w:sz w:val="13"/>
                <w:szCs w:val="13"/>
                <w:color w:val="0000FF"/>
              </w:rPr>
              <w:t>4,528</w:t>
            </w:r>
            <w:r>
              <w:rPr>
                <w:rFonts w:ascii="Arial" w:cs="Arial" w:eastAsia="Arial" w:hAnsi="Arial"/>
                <w:sz w:val="22"/>
                <w:szCs w:val="22"/>
                <w:color w:val="008000"/>
                <w:vertAlign w:val="superscript"/>
              </w:rPr>
              <w:t>(6)</w:t>
            </w:r>
          </w:p>
        </w:tc>
        <w:tc>
          <w:tcPr>
            <w:tcW w:w="280" w:type="dxa"/>
            <w:vAlign w:val="bottom"/>
          </w:tcPr>
          <w:p>
            <w:pPr>
              <w:spacing w:after="0"/>
              <w:rPr>
                <w:sz w:val="12"/>
                <w:szCs w:val="12"/>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01/10/2018</w:t>
            </w:r>
          </w:p>
        </w:tc>
        <w:tc>
          <w:tcPr>
            <w:tcW w:w="760" w:type="dxa"/>
            <w:vAlign w:val="bottom"/>
            <w:vMerge w:val="restart"/>
          </w:tcPr>
          <w:p>
            <w:pPr>
              <w:ind w:left="20"/>
              <w:spacing w:after="0"/>
              <w:rPr>
                <w:sz w:val="20"/>
                <w:szCs w:val="20"/>
                <w:color w:val="auto"/>
              </w:rPr>
            </w:pPr>
            <w:r>
              <w:rPr>
                <w:rFonts w:ascii="Arial" w:cs="Arial" w:eastAsia="Arial" w:hAnsi="Arial"/>
                <w:sz w:val="13"/>
                <w:szCs w:val="13"/>
                <w:color w:val="0000FF"/>
              </w:rPr>
              <w:t>01/10/2022</w:t>
            </w:r>
          </w:p>
        </w:tc>
        <w:tc>
          <w:tcPr>
            <w:tcW w:w="640" w:type="dxa"/>
            <w:vAlign w:val="bottom"/>
            <w:gridSpan w:val="2"/>
          </w:tcPr>
          <w:p>
            <w:pPr>
              <w:ind w:left="20"/>
              <w:spacing w:after="0" w:line="148" w:lineRule="exact"/>
              <w:rPr>
                <w:sz w:val="20"/>
                <w:szCs w:val="20"/>
                <w:color w:val="auto"/>
              </w:rPr>
            </w:pPr>
            <w:r>
              <w:rPr>
                <w:rFonts w:ascii="Arial" w:cs="Arial" w:eastAsia="Arial" w:hAnsi="Arial"/>
                <w:sz w:val="13"/>
                <w:szCs w:val="13"/>
                <w:color w:val="0000FF"/>
              </w:rPr>
              <w:t>Ordinary</w:t>
            </w:r>
          </w:p>
        </w:tc>
        <w:tc>
          <w:tcPr>
            <w:tcW w:w="460" w:type="dxa"/>
            <w:vAlign w:val="bottom"/>
            <w:vMerge w:val="restart"/>
          </w:tcPr>
          <w:p>
            <w:pPr>
              <w:ind w:left="40"/>
              <w:spacing w:after="0"/>
              <w:rPr>
                <w:sz w:val="20"/>
                <w:szCs w:val="20"/>
                <w:color w:val="auto"/>
              </w:rPr>
            </w:pPr>
            <w:r>
              <w:rPr>
                <w:rFonts w:ascii="Arial" w:cs="Arial" w:eastAsia="Arial" w:hAnsi="Arial"/>
                <w:sz w:val="17"/>
                <w:szCs w:val="17"/>
                <w:color w:val="0000FF"/>
                <w:w w:val="93"/>
              </w:rPr>
              <w:t>4,528</w:t>
            </w:r>
          </w:p>
        </w:tc>
        <w:tc>
          <w:tcPr>
            <w:tcW w:w="860" w:type="dxa"/>
            <w:vAlign w:val="bottom"/>
            <w:gridSpan w:val="3"/>
            <w:vMerge w:val="restart"/>
          </w:tcPr>
          <w:p>
            <w:pPr>
              <w:ind w:left="3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00" w:type="dxa"/>
            <w:vAlign w:val="bottom"/>
            <w:vMerge w:val="restart"/>
          </w:tcPr>
          <w:p>
            <w:pPr>
              <w:ind w:left="260"/>
              <w:spacing w:after="0"/>
              <w:rPr>
                <w:sz w:val="20"/>
                <w:szCs w:val="20"/>
                <w:color w:val="auto"/>
              </w:rPr>
            </w:pPr>
            <w:r>
              <w:rPr>
                <w:rFonts w:ascii="Arial" w:cs="Arial" w:eastAsia="Arial" w:hAnsi="Arial"/>
                <w:sz w:val="13"/>
                <w:szCs w:val="13"/>
                <w:color w:val="0000FF"/>
                <w:w w:val="98"/>
              </w:rPr>
              <w:t>4,528</w:t>
            </w:r>
          </w:p>
        </w:tc>
        <w:tc>
          <w:tcPr>
            <w:tcW w:w="280" w:type="dxa"/>
            <w:vAlign w:val="bottom"/>
          </w:tcPr>
          <w:p>
            <w:pPr>
              <w:spacing w:after="0"/>
              <w:rPr>
                <w:sz w:val="12"/>
                <w:szCs w:val="12"/>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66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Shares</w:t>
            </w:r>
          </w:p>
        </w:tc>
        <w:tc>
          <w:tcPr>
            <w:tcW w:w="460" w:type="dxa"/>
            <w:vAlign w:val="bottom"/>
            <w:vMerge w:val="continue"/>
          </w:tcPr>
          <w:p>
            <w:pPr>
              <w:spacing w:after="0"/>
              <w:rPr>
                <w:sz w:val="11"/>
                <w:szCs w:val="11"/>
                <w:color w:val="auto"/>
              </w:rPr>
            </w:pPr>
          </w:p>
        </w:tc>
        <w:tc>
          <w:tcPr>
            <w:tcW w:w="860" w:type="dxa"/>
            <w:vAlign w:val="bottom"/>
            <w:gridSpan w:val="3"/>
            <w:vMerge w:val="continue"/>
          </w:tcPr>
          <w:p>
            <w:pPr>
              <w:spacing w:after="0"/>
              <w:rPr>
                <w:sz w:val="11"/>
                <w:szCs w:val="11"/>
                <w:color w:val="auto"/>
              </w:rPr>
            </w:pPr>
          </w:p>
        </w:tc>
        <w:tc>
          <w:tcPr>
            <w:tcW w:w="60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vMerge w:val="continue"/>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vMerge w:val="continue"/>
          </w:tcPr>
          <w:p>
            <w:pPr>
              <w:spacing w:after="0"/>
              <w:rPr>
                <w:sz w:val="2"/>
                <w:szCs w:val="2"/>
                <w:color w:val="auto"/>
              </w:rPr>
            </w:pPr>
          </w:p>
        </w:tc>
        <w:tc>
          <w:tcPr>
            <w:tcW w:w="46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28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4,000 restricted stock units that vested on June 14, 2017 (as previously reported on the Form 4 filed by the Reporting Person on June 14, 2017) and 9,600 restricted stock units that vested on January 10, 2018.</w:t>
      </w:r>
    </w:p>
    <w:p>
      <w:pPr>
        <w:spacing w:after="0" w:line="11"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stock units, each of which represents a contingent right to receive one Ordinary Shares, that will vest on December 10, 2018.</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7,735 restricted stock units previously reported on the Form 4 filed by the Reporting Person on March 2, 2017.</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stock units, each of which represents a contingent right to receive one Ordinary Share, that will vest on September 7, 2019.</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34.24EUR per Ordinary Share.</w:t>
      </w:r>
    </w:p>
    <w:p>
      <w:pPr>
        <w:spacing w:after="0" w:line="50" w:lineRule="exact"/>
        <w:rPr>
          <w:rFonts w:ascii="Arial" w:cs="Arial" w:eastAsia="Arial" w:hAnsi="Arial"/>
          <w:sz w:val="13"/>
          <w:szCs w:val="13"/>
          <w:color w:val="008000"/>
        </w:rPr>
      </w:pPr>
    </w:p>
    <w:p>
      <w:pPr>
        <w:ind w:left="40" w:right="30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January 17, 2017, the Reporting Person was granted an option to purchase 4,800 Ordinary Shares at a price of 34.24EUR per Ordinary Share. The vesting of the option was subject to certain performance criteria that were partially met, resulting in the vesting of the option as to 4,528 Ordinary Shares.</w:t>
      </w:r>
    </w:p>
    <w:p>
      <w:pPr>
        <w:spacing w:after="0" w:line="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280" w:type="dxa"/>
            <w:vAlign w:val="bottom"/>
            <w:gridSpan w:val="3"/>
          </w:tcPr>
          <w:p>
            <w:pPr>
              <w:spacing w:after="0"/>
              <w:rPr>
                <w:sz w:val="20"/>
                <w:szCs w:val="20"/>
                <w:color w:val="auto"/>
              </w:rPr>
            </w:pPr>
            <w:r>
              <w:rPr>
                <w:rFonts w:ascii="Arial" w:cs="Arial" w:eastAsia="Arial" w:hAnsi="Arial"/>
                <w:sz w:val="17"/>
                <w:szCs w:val="17"/>
                <w:color w:val="0000FF"/>
              </w:rPr>
              <w:t>/s/ Lisa P. Wang, Attorney-In-</w:t>
            </w: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02/21/2018</w:t>
            </w:r>
          </w:p>
        </w:tc>
        <w:tc>
          <w:tcPr>
            <w:tcW w:w="0" w:type="dxa"/>
            <w:vAlign w:val="bottom"/>
          </w:tcPr>
          <w:p>
            <w:pPr>
              <w:spacing w:after="0"/>
              <w:rPr>
                <w:sz w:val="1"/>
                <w:szCs w:val="1"/>
                <w:color w:val="auto"/>
              </w:rPr>
            </w:pPr>
          </w:p>
        </w:tc>
      </w:tr>
      <w:tr>
        <w:trPr>
          <w:trHeight w:val="92"/>
        </w:trPr>
        <w:tc>
          <w:tcPr>
            <w:tcW w:w="2080" w:type="dxa"/>
            <w:vAlign w:val="bottom"/>
            <w:tcBorders>
              <w:top w:val="single" w:sz="8" w:color="auto"/>
              <w:bottom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Fact</w:t>
            </w:r>
          </w:p>
        </w:tc>
        <w:tc>
          <w:tcPr>
            <w:tcW w:w="200" w:type="dxa"/>
            <w:vAlign w:val="bottom"/>
            <w:vMerge w:val="restart"/>
          </w:tcPr>
          <w:p>
            <w:pPr>
              <w:spacing w:after="0"/>
              <w:rPr>
                <w:sz w:val="7"/>
                <w:szCs w:val="7"/>
                <w:color w:val="auto"/>
              </w:rPr>
            </w:pP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2"/>
            <w:vMerge w:val="continue"/>
          </w:tcPr>
          <w:p>
            <w:pPr>
              <w:spacing w:after="0"/>
              <w:rPr>
                <w:sz w:val="7"/>
                <w:szCs w:val="7"/>
                <w:color w:val="auto"/>
              </w:rPr>
            </w:pPr>
          </w:p>
        </w:tc>
        <w:tc>
          <w:tcPr>
            <w:tcW w:w="200" w:type="dxa"/>
            <w:vAlign w:val="bottom"/>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4"/>
          <w:szCs w:val="24"/>
          <w:color w:val="auto"/>
        </w:rPr>
      </w:pPr>
    </w:p>
    <w:p>
      <w:pPr>
        <w:jc w:val="both"/>
        <w:ind w:left="40" w:right="376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94446"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2019-12-08T15:34:38Z</dcterms:created>
  <dcterms:modified xsi:type="dcterms:W3CDTF">2019-12-08T15:34:38Z</dcterms:modified>
</cp:coreProperties>
</file>