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332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Schedule 13G. </w:t>
      </w:r>
    </w:p>
    <w:p>
      <w:pPr>
        <w:pStyle w:val="Normal"/>
        <w:framePr w:w="10218" w:hAnchor="page" w:vAnchor="page" w:x="280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Reference is made to Items 5-11 on the preceding pages of this </w:t>
      </w:r>
    </w:p>
    <w:p>
      <w:pPr>
        <w:pStyle w:val="Normal"/>
        <w:framePr w:w="3753" w:hAnchor="page" w:vAnchor="page" w:x="280" w:y="19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Advisers Act of 1940 </w:t>
      </w:r>
    </w:p>
    <w:p>
      <w:pPr>
        <w:pStyle w:val="Normal"/>
        <w:framePr w:w="10078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Adviser registered under Section 203 of the Investment </w:t>
      </w:r>
    </w:p>
    <w:p>
      <w:pPr>
        <w:pStyle w:val="Normal"/>
        <w:framePr w:w="7408" w:hAnchor="page" w:vAnchor="page" w:x="280" w:y="186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3: The person filing this Schedule 13G is an: </w:t>
      </w:r>
    </w:p>
    <w:p>
      <w:pPr>
        <w:pStyle w:val="Normal"/>
        <w:framePr w:w="5018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Cusip Number: G87110105 </w:t>
      </w:r>
    </w:p>
    <w:p>
      <w:pPr>
        <w:pStyle w:val="Normal"/>
        <w:framePr w:w="7688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Title of Class of Securities: COMMON STOCK </w:t>
      </w:r>
    </w:p>
    <w:p>
      <w:pPr>
        <w:pStyle w:val="Normal"/>
        <w:framePr w:w="2067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Maryland </w:t>
      </w:r>
    </w:p>
    <w:p>
      <w:pPr>
        <w:pStyle w:val="Normal"/>
        <w:framePr w:w="6986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Citizenship or Place of Organization: </w:t>
      </w:r>
    </w:p>
    <w:p>
      <w:pPr>
        <w:pStyle w:val="Normal"/>
        <w:framePr w:w="6002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101 E. Pratt Street, Baltimore, MD 21201 </w:t>
      </w:r>
    </w:p>
    <w:p>
      <w:pPr>
        <w:pStyle w:val="Normal"/>
        <w:framePr w:w="6986" w:hAnchor="page" w:vAnchor="page" w:x="280" w:y="163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Address of Principal Business Office: </w:t>
      </w:r>
    </w:p>
    <w:p>
      <w:pPr>
        <w:pStyle w:val="Normal"/>
        <w:framePr w:w="10921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T. Rowe Price Investment Management, Inc. (Price Investment Management) </w:t>
      </w:r>
    </w:p>
    <w:p>
      <w:pPr>
        <w:pStyle w:val="Normal"/>
        <w:framePr w:w="5299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Name of Person(s) Filing: </w:t>
      </w:r>
    </w:p>
    <w:p>
      <w:pPr>
        <w:pStyle w:val="Normal"/>
        <w:framePr w:w="10921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 WINCOMBLEE ROAD, NEWCASTLE UPON TYNE, UNITED KINGDOM NE6 3PL </w:t>
      </w:r>
    </w:p>
    <w:p>
      <w:pPr>
        <w:pStyle w:val="Normal"/>
        <w:framePr w:w="8532" w:hAnchor="page" w:vAnchor="page" w:x="280" w:y="150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Address of Issuer's Principal Executive Offices: </w:t>
      </w:r>
    </w:p>
    <w:p>
      <w:pPr>
        <w:pStyle w:val="Normal"/>
        <w:framePr w:w="2348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3894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Name of Issuer: </w:t>
      </w:r>
    </w:p>
    <w:p>
      <w:pPr>
        <w:pStyle w:val="Normal"/>
        <w:framePr w:w="9656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521" w:hAnchor="page" w:vAnchor="page" w:x="1217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IA</w:t>
      </w:r>
    </w:p>
    <w:p>
      <w:pPr>
        <w:pStyle w:val="Normal"/>
        <w:framePr w:w="4315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943" w:hAnchor="page" w:vAnchor="page" w:x="1217" w:y="127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9.8% </w:t>
      </w:r>
    </w:p>
    <w:p>
      <w:pPr>
        <w:pStyle w:val="Normal"/>
        <w:framePr w:w="7548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18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41,800,605 </w:t>
      </w:r>
    </w:p>
    <w:p>
      <w:pPr>
        <w:pStyle w:val="Normal"/>
        <w:framePr w:w="9234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framePr w:w="6002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41,800,605 </w:t>
      </w:r>
    </w:p>
    <w:p>
      <w:pPr>
        <w:pStyle w:val="Normal"/>
        <w:framePr w:w="4737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41,701,004 </w:t>
      </w:r>
    </w:p>
    <w:p>
      <w:pPr>
        <w:pStyle w:val="Normal"/>
        <w:framePr w:w="9516" w:hAnchor="page" w:vAnchor="page" w:x="280" w:y="89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85-4328500 </w:t>
      </w:r>
    </w:p>
    <w:p>
      <w:pPr>
        <w:pStyle w:val="Normal"/>
        <w:framePr w:w="6564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Investment Management, Inc. </w:t>
      </w:r>
    </w:p>
    <w:p>
      <w:pPr>
        <w:pStyle w:val="Normal"/>
        <w:framePr w:w="4175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3191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- 1(d) </w:t>
      </w:r>
    </w:p>
    <w:p>
      <w:pPr>
        <w:pStyle w:val="Normal"/>
        <w:framePr w:w="3191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- 1(c) </w:t>
      </w:r>
    </w:p>
    <w:p>
      <w:pPr>
        <w:pStyle w:val="Normal"/>
        <w:framePr w:w="3191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 Rule 13d - 1(b) </w:t>
      </w:r>
    </w:p>
    <w:p>
      <w:pPr>
        <w:pStyle w:val="Normal"/>
        <w:framePr w:w="2910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7408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(Date of Event which Requires Filing of Statement) </w:t>
      </w:r>
    </w:p>
    <w:p>
      <w:pPr>
        <w:pStyle w:val="Normal"/>
        <w:framePr w:w="2910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September 30, 2024 </w:t>
      </w:r>
    </w:p>
    <w:p>
      <w:pPr>
        <w:pStyle w:val="Normal"/>
        <w:framePr w:w="2348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(CUSIP NUMBER) </w:t>
      </w:r>
    </w:p>
    <w:p>
      <w:pPr>
        <w:pStyle w:val="Normal"/>
        <w:framePr w:w="1645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4597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(Title of Class of Securities) </w:t>
      </w:r>
    </w:p>
    <w:p>
      <w:pPr>
        <w:pStyle w:val="Normal"/>
        <w:framePr w:w="2067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629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(Name of Issuer) </w:t>
      </w:r>
    </w:p>
    <w:p>
      <w:pPr>
        <w:pStyle w:val="Normal"/>
        <w:framePr w:w="2348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770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(Amendment No. 1) </w:t>
      </w:r>
    </w:p>
    <w:p>
      <w:pPr>
        <w:pStyle w:val="Normal"/>
        <w:framePr w:w="6143" w:hAnchor="page" w:vAnchor="page" w:x="280" w:y="12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3472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Washington, D.C. 20549 </w:t>
      </w:r>
    </w:p>
    <w:p>
      <w:pPr>
        <w:pStyle w:val="Normal"/>
        <w:framePr w:w="5159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EXCHANGE COMMISSION </w:t>
      </w:r>
    </w:p>
    <w:p>
      <w:pPr>
        <w:pStyle w:val="Normal"/>
        <w:framePr w:w="2207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1645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09/30/2024</w:t>
      </w:r>
    </w:p>
    <w:p>
      <w:pPr>
        <w:pStyle w:val="Normal"/>
        <w:framePr w:w="6002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Ellen York, Vice President </w:t>
      </w:r>
    </w:p>
    <w:p>
      <w:pPr>
        <w:pStyle w:val="Normal"/>
        <w:framePr w:w="3894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Ellen York </w:t>
      </w:r>
    </w:p>
    <w:p>
      <w:pPr>
        <w:pStyle w:val="Normal"/>
        <w:framePr w:w="3613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November 14, 2024 </w:t>
      </w:r>
    </w:p>
    <w:p>
      <w:pPr>
        <w:pStyle w:val="Normal"/>
        <w:framePr w:w="6143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Investment Management, Inc. </w:t>
      </w:r>
    </w:p>
    <w:p>
      <w:pPr>
        <w:pStyle w:val="Normal"/>
        <w:framePr w:w="4597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complete and correct. </w:t>
      </w:r>
    </w:p>
    <w:p>
      <w:pPr>
        <w:pStyle w:val="Normal"/>
        <w:framePr w:w="1106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 certify that the information set forth in this statement is true, </w:t>
      </w:r>
    </w:p>
    <w:p>
      <w:pPr>
        <w:pStyle w:val="Normal"/>
        <w:framePr w:w="11202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After reasonable inquiry and to the best of my knowledge and belief, </w:t>
      </w:r>
    </w:p>
    <w:p>
      <w:pPr>
        <w:pStyle w:val="Normal"/>
        <w:framePr w:w="3051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Signature. </w:t>
      </w:r>
    </w:p>
    <w:p>
      <w:pPr>
        <w:pStyle w:val="Normal"/>
        <w:framePr w:w="2629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denied. </w:t>
      </w:r>
    </w:p>
    <w:p>
      <w:pPr>
        <w:pStyle w:val="Normal"/>
        <w:framePr w:w="10499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securities referred to, which beneficial ownership is expressly </w:t>
      </w:r>
    </w:p>
    <w:p>
      <w:pPr>
        <w:pStyle w:val="Normal"/>
        <w:framePr w:w="10499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Price Investment Management is the beneficial owner of the </w:t>
      </w:r>
    </w:p>
    <w:p>
      <w:pPr>
        <w:pStyle w:val="Normal"/>
        <w:framePr w:w="11483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the filing of Schedule 13G shall not be construed as an admission </w:t>
      </w:r>
    </w:p>
    <w:p>
      <w:pPr>
        <w:pStyle w:val="Normal"/>
        <w:framePr w:w="11342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T. Rowe Price Investment Management, Inc. hereby declares and affirms </w:t>
      </w:r>
    </w:p>
    <w:p>
      <w:pPr>
        <w:pStyle w:val="Normal"/>
        <w:framePr w:w="8532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 any transaction having that purpose or effect. </w:t>
      </w:r>
    </w:p>
    <w:p>
      <w:pPr>
        <w:pStyle w:val="Normal"/>
        <w:framePr w:w="11202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not acquired and are not held in connection with or as a participant </w:t>
      </w:r>
    </w:p>
    <w:p>
      <w:pPr>
        <w:pStyle w:val="Normal"/>
        <w:framePr w:w="10640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influencing the control of the issuer of the securities and were </w:t>
      </w:r>
    </w:p>
    <w:p>
      <w:pPr>
        <w:pStyle w:val="Normal"/>
        <w:framePr w:w="9656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held for the purpose of or with the effect of changing or </w:t>
      </w:r>
    </w:p>
    <w:p>
      <w:pPr>
        <w:pStyle w:val="Normal"/>
        <w:framePr w:w="10218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ordinary course of business and were not acquired and are not </w:t>
      </w:r>
    </w:p>
    <w:p>
      <w:pPr>
        <w:pStyle w:val="Normal"/>
        <w:framePr w:w="10218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belief, the securities referred to above were acquired in the </w:t>
      </w:r>
    </w:p>
    <w:p>
      <w:pPr>
        <w:pStyle w:val="Normal"/>
        <w:framePr w:w="1064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By signing below I certify that, to the best of my knowledge and </w:t>
      </w:r>
    </w:p>
    <w:p>
      <w:pPr>
        <w:pStyle w:val="Normal"/>
        <w:framePr w:w="3472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10: Certification </w:t>
      </w:r>
    </w:p>
    <w:p>
      <w:pPr>
        <w:pStyle w:val="Normal"/>
        <w:framePr w:w="3472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5721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Notice of Dissolution of Group </w:t>
      </w:r>
    </w:p>
    <w:p>
      <w:pPr>
        <w:pStyle w:val="Normal"/>
        <w:framePr w:w="3472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Identification and Classification of Members of the Group </w:t>
      </w:r>
    </w:p>
    <w:p>
      <w:pPr>
        <w:pStyle w:val="Normal"/>
        <w:framePr w:w="3472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Security Being Reported on By the Parent Holding Company. </w:t>
      </w:r>
    </w:p>
    <w:p>
      <w:pPr>
        <w:pStyle w:val="Normal"/>
        <w:framePr w:w="11342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Identification and Classification of the Subsidiary Which Acquired the </w:t>
      </w:r>
    </w:p>
    <w:p>
      <w:pPr>
        <w:pStyle w:val="Normal"/>
        <w:framePr w:w="10499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subject to the investment advice of Price Investment Management. </w:t>
      </w:r>
    </w:p>
    <w:p>
      <w:pPr>
        <w:pStyle w:val="Normal"/>
        <w:framePr w:w="10780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than 5% of the class of such securities is owned by any one client </w:t>
      </w:r>
    </w:p>
    <w:p>
      <w:pPr>
        <w:pStyle w:val="Normal"/>
        <w:framePr w:w="8813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investment adviser ("T. Rowe Price Funds"), not more </w:t>
      </w:r>
    </w:p>
    <w:p>
      <w:pPr>
        <w:pStyle w:val="Normal"/>
        <w:framePr w:w="8672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Investment Management which it also serves as </w:t>
      </w:r>
    </w:p>
    <w:p>
      <w:pPr>
        <w:pStyle w:val="Normal"/>
        <w:framePr w:w="7688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registered investment companies sponsored by </w:t>
      </w:r>
    </w:p>
    <w:p>
      <w:pPr>
        <w:pStyle w:val="Normal"/>
        <w:framePr w:w="11062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Except as may be indicated if this is a joint filing with one of the </w:t>
      </w:r>
    </w:p>
    <w:p>
      <w:pPr>
        <w:pStyle w:val="Normal"/>
        <w:framePr w:w="6002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whole or in part at any time. </w:t>
      </w:r>
    </w:p>
    <w:p>
      <w:pPr>
        <w:pStyle w:val="Normal"/>
        <w:framePr w:w="7408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Investment Management may be revoked </w:t>
      </w:r>
    </w:p>
    <w:p>
      <w:pPr>
        <w:pStyle w:val="Normal"/>
        <w:framePr w:w="10359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Any and all discretionary authority which has been delegated to </w:t>
      </w:r>
    </w:p>
    <w:p>
      <w:pPr>
        <w:pStyle w:val="Normal"/>
        <w:framePr w:w="9516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Investment Management serves as investment adviser. </w:t>
      </w:r>
    </w:p>
    <w:p>
      <w:pPr>
        <w:pStyle w:val="Normal"/>
        <w:framePr w:w="9375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vested in the individual and institutional clients which </w:t>
      </w:r>
    </w:p>
    <w:p>
      <w:pPr>
        <w:pStyle w:val="Normal"/>
        <w:framePr w:w="10780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the proceeds from the sale of, such securities, is </w:t>
      </w:r>
    </w:p>
    <w:p>
      <w:pPr>
        <w:pStyle w:val="Normal"/>
        <w:framePr w:w="10359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The ultimate power to direct the receipt of dividends paid with </w:t>
      </w:r>
    </w:p>
    <w:p>
      <w:pPr>
        <w:pStyle w:val="Normal"/>
        <w:framePr w:w="9797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proceeds from the sale of, such securities. </w:t>
      </w:r>
    </w:p>
    <w:p>
      <w:pPr>
        <w:pStyle w:val="Normal"/>
        <w:framePr w:w="9516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trustee bank has the right to receive dividends paid with </w:t>
      </w:r>
    </w:p>
    <w:p>
      <w:pPr>
        <w:pStyle w:val="Normal"/>
        <w:framePr w:w="8953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instance only the client or the client's custodian or </w:t>
      </w:r>
    </w:p>
    <w:p>
      <w:pPr>
        <w:pStyle w:val="Normal"/>
        <w:framePr w:w="9516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of the assets of any of its clients; accordingly, in each </w:t>
      </w:r>
    </w:p>
    <w:p>
      <w:pPr>
        <w:pStyle w:val="Normal"/>
        <w:framePr w:w="9234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    Price Investment Management does not serve as custodian </w:t>
      </w:r>
    </w:p>
    <w:p>
      <w:pPr>
        <w:pStyle w:val="Normal"/>
        <w:framePr w:w="10359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Ownership of More than Five Percent on Behalf of Another Person </w:t>
      </w:r>
    </w:p>
    <w:p>
      <w:pPr>
        <w:pStyle w:val="Normal"/>
        <w:framePr w:w="2348" w:hAnchor="page" w:vAnchor="page" w:x="1217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7688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Ownership of Five Percent or Less of a Class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732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styles.xml" Type="http://schemas.openxmlformats.org/officeDocument/2006/relationships/styles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728</Words>
  <Characters>3704</Characters>
  <Application>e-iceblue</Application>
  <DocSecurity>0</DocSecurity>
  <Lines>108</Lines>
  <Paragraphs>108</Paragraphs>
  <ScaleCrop>false</ScaleCrop>
  <Company>e-iceblue</Company>
  <LinksUpToDate>false</LinksUpToDate>
  <CharactersWithSpaces>4805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2024-11-14T18:42:51Z</dcterms:created>
  <dc:creator>root</dc:creator>
  <cp:lastModifiedBy>root</cp:lastModifiedBy>
  <dcterms:modified xsi:type="dcterms:W3CDTF">2024-11-14T18:42:51Z</dcterms:modified>
  <cp:revision>1</cp:revision>
</cp:coreProperties>
</file>