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311150</wp:posOffset>
            </wp:positionH>
            <wp:positionV relativeFrom="page">
              <wp:posOffset>757555</wp:posOffset>
            </wp:positionV>
            <wp:extent cx="692658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26580" cy="8255"/>
                    </a:xfrm>
                    <a:prstGeom prst="rect">
                      <a:avLst/>
                    </a:prstGeom>
                    <a:noFill/>
                  </pic:spPr>
                </pic:pic>
              </a:graphicData>
            </a:graphic>
          </wp:anchor>
        </w:drawing>
        <w:drawing>
          <wp:anchor simplePos="0" relativeHeight="251657728" behindDoc="1" locked="0" layoutInCell="0" allowOverlap="1">
            <wp:simplePos x="0" y="0"/>
            <wp:positionH relativeFrom="page">
              <wp:posOffset>311150</wp:posOffset>
            </wp:positionH>
            <wp:positionV relativeFrom="page">
              <wp:posOffset>723265</wp:posOffset>
            </wp:positionV>
            <wp:extent cx="692658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26580" cy="8255"/>
                    </a:xfrm>
                    <a:prstGeom prst="rect">
                      <a:avLst/>
                    </a:prstGeom>
                    <a:noFill/>
                  </pic:spPr>
                </pic:pic>
              </a:graphicData>
            </a:graphic>
          </wp:anchor>
        </w:drawing>
        <w:t>UNITED STATES</w:t>
      </w:r>
    </w:p>
    <w:p>
      <w:pPr>
        <w:spacing w:after="0" w:line="40"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SECURITIES AND EXCHANGE COMMISSION</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13"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8-K</w:t>
      </w:r>
    </w:p>
    <w:p>
      <w:pPr>
        <w:spacing w:after="0" w:line="257"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CURRENT REPORT</w:t>
      </w:r>
    </w:p>
    <w:p>
      <w:pPr>
        <w:spacing w:after="0" w:line="26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25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September 30, 2020</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Date of Report (Date of earliest event reported)</w:t>
      </w:r>
    </w:p>
    <w:p>
      <w:pPr>
        <w:spacing w:after="0" w:line="213"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TechnipFMC plc</w:t>
      </w:r>
    </w:p>
    <w:p>
      <w:pPr>
        <w:spacing w:after="0" w:line="4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136" w:lineRule="exact"/>
        <w:rPr>
          <w:sz w:val="24"/>
          <w:szCs w:val="24"/>
          <w:color w:val="auto"/>
        </w:rPr>
      </w:pPr>
    </w:p>
    <w:tbl>
      <w:tblPr>
        <w:tblLayout w:type="fixed"/>
        <w:tblInd w:w="440" w:type="dxa"/>
        <w:tblCellMar>
          <w:top w:w="0" w:type="dxa"/>
          <w:left w:w="0" w:type="dxa"/>
          <w:bottom w:w="0" w:type="dxa"/>
          <w:right w:w="0" w:type="dxa"/>
        </w:tblCellMar>
      </w:tblPr>
      <w:tr>
        <w:trPr>
          <w:trHeight w:val="239"/>
        </w:trPr>
        <w:tc>
          <w:tcPr>
            <w:tcW w:w="2880" w:type="dxa"/>
            <w:vAlign w:val="bottom"/>
          </w:tcPr>
          <w:p>
            <w:pPr>
              <w:jc w:val="center"/>
              <w:ind w:right="76"/>
              <w:spacing w:after="0"/>
              <w:rPr>
                <w:sz w:val="20"/>
                <w:szCs w:val="20"/>
                <w:color w:val="auto"/>
              </w:rPr>
            </w:pPr>
            <w:r>
              <w:rPr>
                <w:rFonts w:ascii="Arial" w:cs="Arial" w:eastAsia="Arial" w:hAnsi="Arial"/>
                <w:sz w:val="18"/>
                <w:szCs w:val="18"/>
                <w:b w:val="1"/>
                <w:bCs w:val="1"/>
                <w:color w:val="auto"/>
              </w:rPr>
              <w:t>United Kingdom</w:t>
            </w:r>
          </w:p>
        </w:tc>
        <w:tc>
          <w:tcPr>
            <w:tcW w:w="4740" w:type="dxa"/>
            <w:vAlign w:val="bottom"/>
          </w:tcPr>
          <w:p>
            <w:pPr>
              <w:jc w:val="right"/>
              <w:ind w:right="1943"/>
              <w:spacing w:after="0"/>
              <w:rPr>
                <w:sz w:val="20"/>
                <w:szCs w:val="20"/>
                <w:color w:val="auto"/>
              </w:rPr>
            </w:pPr>
            <w:r>
              <w:rPr>
                <w:rFonts w:ascii="Arial" w:cs="Arial" w:eastAsia="Arial" w:hAnsi="Arial"/>
                <w:sz w:val="18"/>
                <w:szCs w:val="18"/>
                <w:b w:val="1"/>
                <w:bCs w:val="1"/>
                <w:color w:val="auto"/>
              </w:rPr>
              <w:t>001-37983</w:t>
            </w:r>
          </w:p>
        </w:tc>
        <w:tc>
          <w:tcPr>
            <w:tcW w:w="2480" w:type="dxa"/>
            <w:vAlign w:val="bottom"/>
          </w:tcPr>
          <w:p>
            <w:pPr>
              <w:jc w:val="center"/>
              <w:ind w:left="199"/>
              <w:spacing w:after="0"/>
              <w:rPr>
                <w:sz w:val="20"/>
                <w:szCs w:val="20"/>
                <w:color w:val="auto"/>
              </w:rPr>
            </w:pPr>
            <w:r>
              <w:rPr>
                <w:rFonts w:ascii="Arial" w:cs="Arial" w:eastAsia="Arial" w:hAnsi="Arial"/>
                <w:sz w:val="18"/>
                <w:szCs w:val="18"/>
                <w:b w:val="1"/>
                <w:bCs w:val="1"/>
                <w:color w:val="auto"/>
                <w:w w:val="99"/>
              </w:rPr>
              <w:t>98-1283037</w:t>
            </w:r>
          </w:p>
        </w:tc>
      </w:tr>
      <w:tr>
        <w:trPr>
          <w:trHeight w:val="217"/>
        </w:trPr>
        <w:tc>
          <w:tcPr>
            <w:tcW w:w="2880" w:type="dxa"/>
            <w:vAlign w:val="bottom"/>
          </w:tcPr>
          <w:p>
            <w:pPr>
              <w:jc w:val="center"/>
              <w:ind w:right="76"/>
              <w:spacing w:after="0"/>
              <w:rPr>
                <w:sz w:val="20"/>
                <w:szCs w:val="20"/>
                <w:color w:val="auto"/>
              </w:rPr>
            </w:pPr>
            <w:r>
              <w:rPr>
                <w:rFonts w:ascii="Arial" w:cs="Arial" w:eastAsia="Arial" w:hAnsi="Arial"/>
                <w:sz w:val="14"/>
                <w:szCs w:val="14"/>
                <w:color w:val="auto"/>
              </w:rPr>
              <w:t>(State or other jurisdiction of incorporation)</w:t>
            </w:r>
          </w:p>
        </w:tc>
        <w:tc>
          <w:tcPr>
            <w:tcW w:w="4740" w:type="dxa"/>
            <w:vAlign w:val="bottom"/>
          </w:tcPr>
          <w:p>
            <w:pPr>
              <w:jc w:val="center"/>
              <w:ind w:right="63"/>
              <w:spacing w:after="0"/>
              <w:rPr>
                <w:sz w:val="20"/>
                <w:szCs w:val="20"/>
                <w:color w:val="auto"/>
              </w:rPr>
            </w:pPr>
            <w:r>
              <w:rPr>
                <w:rFonts w:ascii="Arial" w:cs="Arial" w:eastAsia="Arial" w:hAnsi="Arial"/>
                <w:sz w:val="14"/>
                <w:szCs w:val="14"/>
                <w:color w:val="auto"/>
              </w:rPr>
              <w:t>(Commission File Number)</w:t>
            </w:r>
          </w:p>
        </w:tc>
        <w:tc>
          <w:tcPr>
            <w:tcW w:w="2480" w:type="dxa"/>
            <w:vAlign w:val="bottom"/>
          </w:tcPr>
          <w:p>
            <w:pPr>
              <w:jc w:val="center"/>
              <w:ind w:left="199"/>
              <w:spacing w:after="0"/>
              <w:rPr>
                <w:sz w:val="20"/>
                <w:szCs w:val="20"/>
                <w:color w:val="auto"/>
              </w:rPr>
            </w:pPr>
            <w:r>
              <w:rPr>
                <w:rFonts w:ascii="Arial" w:cs="Arial" w:eastAsia="Arial" w:hAnsi="Arial"/>
                <w:sz w:val="14"/>
                <w:szCs w:val="14"/>
                <w:color w:val="auto"/>
              </w:rPr>
              <w:t>(I.R.S. Employer Identification No.)</w:t>
            </w:r>
          </w:p>
        </w:tc>
      </w:tr>
      <w:tr>
        <w:trPr>
          <w:trHeight w:val="377"/>
        </w:trPr>
        <w:tc>
          <w:tcPr>
            <w:tcW w:w="2880" w:type="dxa"/>
            <w:vAlign w:val="bottom"/>
          </w:tcPr>
          <w:p>
            <w:pPr>
              <w:jc w:val="center"/>
              <w:ind w:right="56"/>
              <w:spacing w:after="0"/>
              <w:rPr>
                <w:sz w:val="20"/>
                <w:szCs w:val="20"/>
                <w:color w:val="auto"/>
              </w:rPr>
            </w:pPr>
            <w:r>
              <w:rPr>
                <w:rFonts w:ascii="Arial" w:cs="Arial" w:eastAsia="Arial" w:hAnsi="Arial"/>
                <w:sz w:val="18"/>
                <w:szCs w:val="18"/>
                <w:b w:val="1"/>
                <w:bCs w:val="1"/>
                <w:color w:val="auto"/>
                <w:w w:val="99"/>
              </w:rPr>
              <w:t>One St. Paul’s Churchyard</w:t>
            </w:r>
          </w:p>
        </w:tc>
        <w:tc>
          <w:tcPr>
            <w:tcW w:w="4740" w:type="dxa"/>
            <w:vAlign w:val="bottom"/>
          </w:tcPr>
          <w:p>
            <w:pPr>
              <w:spacing w:after="0"/>
              <w:rPr>
                <w:sz w:val="24"/>
                <w:szCs w:val="24"/>
                <w:color w:val="auto"/>
              </w:rPr>
            </w:pPr>
          </w:p>
        </w:tc>
        <w:tc>
          <w:tcPr>
            <w:tcW w:w="2480" w:type="dxa"/>
            <w:vAlign w:val="bottom"/>
          </w:tcPr>
          <w:p>
            <w:pPr>
              <w:spacing w:after="0"/>
              <w:rPr>
                <w:sz w:val="24"/>
                <w:szCs w:val="24"/>
                <w:color w:val="auto"/>
              </w:rPr>
            </w:pPr>
          </w:p>
        </w:tc>
      </w:tr>
      <w:tr>
        <w:trPr>
          <w:trHeight w:val="257"/>
        </w:trPr>
        <w:tc>
          <w:tcPr>
            <w:tcW w:w="2880" w:type="dxa"/>
            <w:vAlign w:val="bottom"/>
          </w:tcPr>
          <w:p>
            <w:pPr>
              <w:jc w:val="center"/>
              <w:ind w:right="56"/>
              <w:spacing w:after="0"/>
              <w:rPr>
                <w:sz w:val="20"/>
                <w:szCs w:val="20"/>
                <w:color w:val="auto"/>
              </w:rPr>
            </w:pPr>
            <w:r>
              <w:rPr>
                <w:rFonts w:ascii="Arial" w:cs="Arial" w:eastAsia="Arial" w:hAnsi="Arial"/>
                <w:sz w:val="18"/>
                <w:szCs w:val="18"/>
                <w:b w:val="1"/>
                <w:bCs w:val="1"/>
                <w:color w:val="auto"/>
                <w:w w:val="99"/>
              </w:rPr>
              <w:t>London</w:t>
            </w:r>
          </w:p>
        </w:tc>
        <w:tc>
          <w:tcPr>
            <w:tcW w:w="4740" w:type="dxa"/>
            <w:vAlign w:val="bottom"/>
          </w:tcPr>
          <w:p>
            <w:pPr>
              <w:spacing w:after="0"/>
              <w:rPr>
                <w:sz w:val="22"/>
                <w:szCs w:val="22"/>
                <w:color w:val="auto"/>
              </w:rPr>
            </w:pPr>
          </w:p>
        </w:tc>
        <w:tc>
          <w:tcPr>
            <w:tcW w:w="2480" w:type="dxa"/>
            <w:vAlign w:val="bottom"/>
          </w:tcPr>
          <w:p>
            <w:pPr>
              <w:spacing w:after="0"/>
              <w:rPr>
                <w:sz w:val="22"/>
                <w:szCs w:val="22"/>
                <w:color w:val="auto"/>
              </w:rPr>
            </w:pPr>
          </w:p>
        </w:tc>
      </w:tr>
      <w:tr>
        <w:trPr>
          <w:trHeight w:val="257"/>
        </w:trPr>
        <w:tc>
          <w:tcPr>
            <w:tcW w:w="2880" w:type="dxa"/>
            <w:vAlign w:val="bottom"/>
          </w:tcPr>
          <w:p>
            <w:pPr>
              <w:jc w:val="center"/>
              <w:ind w:right="56"/>
              <w:spacing w:after="0"/>
              <w:rPr>
                <w:sz w:val="20"/>
                <w:szCs w:val="20"/>
                <w:color w:val="auto"/>
              </w:rPr>
            </w:pPr>
            <w:r>
              <w:rPr>
                <w:rFonts w:ascii="Arial" w:cs="Arial" w:eastAsia="Arial" w:hAnsi="Arial"/>
                <w:sz w:val="18"/>
                <w:szCs w:val="18"/>
                <w:b w:val="1"/>
                <w:bCs w:val="1"/>
                <w:color w:val="auto"/>
                <w:w w:val="99"/>
              </w:rPr>
              <w:t>United Kingdom</w:t>
            </w:r>
          </w:p>
        </w:tc>
        <w:tc>
          <w:tcPr>
            <w:tcW w:w="4740" w:type="dxa"/>
            <w:vAlign w:val="bottom"/>
          </w:tcPr>
          <w:p>
            <w:pPr>
              <w:spacing w:after="0"/>
              <w:rPr>
                <w:sz w:val="22"/>
                <w:szCs w:val="22"/>
                <w:color w:val="auto"/>
              </w:rPr>
            </w:pPr>
          </w:p>
        </w:tc>
        <w:tc>
          <w:tcPr>
            <w:tcW w:w="2480" w:type="dxa"/>
            <w:vAlign w:val="bottom"/>
          </w:tcPr>
          <w:p>
            <w:pPr>
              <w:jc w:val="center"/>
              <w:ind w:left="179"/>
              <w:spacing w:after="0"/>
              <w:rPr>
                <w:sz w:val="20"/>
                <w:szCs w:val="20"/>
                <w:color w:val="auto"/>
              </w:rPr>
            </w:pPr>
            <w:r>
              <w:rPr>
                <w:rFonts w:ascii="Arial" w:cs="Arial" w:eastAsia="Arial" w:hAnsi="Arial"/>
                <w:sz w:val="18"/>
                <w:szCs w:val="18"/>
                <w:b w:val="1"/>
                <w:bCs w:val="1"/>
                <w:color w:val="auto"/>
                <w:w w:val="99"/>
              </w:rPr>
              <w:t>EC4M 8AP</w:t>
            </w:r>
          </w:p>
        </w:tc>
      </w:tr>
      <w:tr>
        <w:trPr>
          <w:trHeight w:val="217"/>
        </w:trPr>
        <w:tc>
          <w:tcPr>
            <w:tcW w:w="2880" w:type="dxa"/>
            <w:vAlign w:val="bottom"/>
          </w:tcPr>
          <w:p>
            <w:pPr>
              <w:jc w:val="center"/>
              <w:ind w:right="56"/>
              <w:spacing w:after="0"/>
              <w:rPr>
                <w:sz w:val="20"/>
                <w:szCs w:val="20"/>
                <w:color w:val="auto"/>
              </w:rPr>
            </w:pPr>
            <w:r>
              <w:rPr>
                <w:rFonts w:ascii="Arial" w:cs="Arial" w:eastAsia="Arial" w:hAnsi="Arial"/>
                <w:sz w:val="14"/>
                <w:szCs w:val="14"/>
                <w:color w:val="auto"/>
              </w:rPr>
              <w:t>(Address of principal executive offices)</w:t>
            </w:r>
          </w:p>
        </w:tc>
        <w:tc>
          <w:tcPr>
            <w:tcW w:w="4740" w:type="dxa"/>
            <w:vAlign w:val="bottom"/>
          </w:tcPr>
          <w:p>
            <w:pPr>
              <w:spacing w:after="0"/>
              <w:rPr>
                <w:sz w:val="18"/>
                <w:szCs w:val="18"/>
                <w:color w:val="auto"/>
              </w:rPr>
            </w:pPr>
          </w:p>
        </w:tc>
        <w:tc>
          <w:tcPr>
            <w:tcW w:w="2480" w:type="dxa"/>
            <w:vAlign w:val="bottom"/>
          </w:tcPr>
          <w:p>
            <w:pPr>
              <w:jc w:val="center"/>
              <w:ind w:left="159"/>
              <w:spacing w:after="0"/>
              <w:rPr>
                <w:sz w:val="20"/>
                <w:szCs w:val="20"/>
                <w:color w:val="auto"/>
              </w:rPr>
            </w:pPr>
            <w:r>
              <w:rPr>
                <w:rFonts w:ascii="Arial" w:cs="Arial" w:eastAsia="Arial" w:hAnsi="Arial"/>
                <w:sz w:val="14"/>
                <w:szCs w:val="14"/>
                <w:color w:val="auto"/>
              </w:rPr>
              <w:t>(Zip Code)</w:t>
            </w:r>
          </w:p>
        </w:tc>
      </w:tr>
      <w:tr>
        <w:trPr>
          <w:trHeight w:val="311"/>
        </w:trPr>
        <w:tc>
          <w:tcPr>
            <w:tcW w:w="2880" w:type="dxa"/>
            <w:vAlign w:val="bottom"/>
          </w:tcPr>
          <w:p>
            <w:pPr>
              <w:spacing w:after="0"/>
              <w:rPr>
                <w:sz w:val="24"/>
                <w:szCs w:val="24"/>
                <w:color w:val="auto"/>
              </w:rPr>
            </w:pPr>
          </w:p>
        </w:tc>
        <w:tc>
          <w:tcPr>
            <w:tcW w:w="4740" w:type="dxa"/>
            <w:vAlign w:val="bottom"/>
          </w:tcPr>
          <w:p>
            <w:pPr>
              <w:jc w:val="right"/>
              <w:ind w:right="1763"/>
              <w:spacing w:after="0"/>
              <w:rPr>
                <w:sz w:val="20"/>
                <w:szCs w:val="20"/>
                <w:color w:val="auto"/>
              </w:rPr>
            </w:pPr>
            <w:r>
              <w:rPr>
                <w:rFonts w:ascii="Arial" w:cs="Arial" w:eastAsia="Arial" w:hAnsi="Arial"/>
                <w:sz w:val="14"/>
                <w:szCs w:val="14"/>
                <w:b w:val="1"/>
                <w:bCs w:val="1"/>
                <w:color w:val="auto"/>
              </w:rPr>
              <w:t>+44 203-429-3950</w:t>
            </w:r>
          </w:p>
        </w:tc>
        <w:tc>
          <w:tcPr>
            <w:tcW w:w="2480" w:type="dxa"/>
            <w:vAlign w:val="bottom"/>
          </w:tcPr>
          <w:p>
            <w:pPr>
              <w:spacing w:after="0"/>
              <w:rPr>
                <w:sz w:val="24"/>
                <w:szCs w:val="24"/>
                <w:color w:val="auto"/>
              </w:rPr>
            </w:pPr>
          </w:p>
        </w:tc>
      </w:tr>
      <w:tr>
        <w:trPr>
          <w:trHeight w:val="203"/>
        </w:trPr>
        <w:tc>
          <w:tcPr>
            <w:tcW w:w="2880" w:type="dxa"/>
            <w:vAlign w:val="bottom"/>
          </w:tcPr>
          <w:p>
            <w:pPr>
              <w:spacing w:after="0"/>
              <w:rPr>
                <w:sz w:val="17"/>
                <w:szCs w:val="17"/>
                <w:color w:val="auto"/>
              </w:rPr>
            </w:pPr>
          </w:p>
        </w:tc>
        <w:tc>
          <w:tcPr>
            <w:tcW w:w="4740" w:type="dxa"/>
            <w:vAlign w:val="bottom"/>
          </w:tcPr>
          <w:p>
            <w:pPr>
              <w:jc w:val="center"/>
              <w:ind w:right="63"/>
              <w:spacing w:after="0"/>
              <w:rPr>
                <w:sz w:val="20"/>
                <w:szCs w:val="20"/>
                <w:color w:val="auto"/>
              </w:rPr>
            </w:pPr>
            <w:r>
              <w:rPr>
                <w:rFonts w:ascii="Arial" w:cs="Arial" w:eastAsia="Arial" w:hAnsi="Arial"/>
                <w:sz w:val="14"/>
                <w:szCs w:val="14"/>
                <w:color w:val="auto"/>
              </w:rPr>
              <w:t>(Registrant's telephone number, including area code)</w:t>
            </w:r>
          </w:p>
        </w:tc>
        <w:tc>
          <w:tcPr>
            <w:tcW w:w="2480" w:type="dxa"/>
            <w:vAlign w:val="bottom"/>
          </w:tcPr>
          <w:p>
            <w:pPr>
              <w:spacing w:after="0"/>
              <w:rPr>
                <w:sz w:val="17"/>
                <w:szCs w:val="17"/>
                <w:color w:val="auto"/>
              </w:rPr>
            </w:pPr>
          </w:p>
        </w:tc>
      </w:tr>
      <w:tr>
        <w:trPr>
          <w:trHeight w:val="444"/>
        </w:trPr>
        <w:tc>
          <w:tcPr>
            <w:tcW w:w="2880" w:type="dxa"/>
            <w:vAlign w:val="bottom"/>
          </w:tcPr>
          <w:p>
            <w:pPr>
              <w:spacing w:after="0"/>
              <w:rPr>
                <w:sz w:val="24"/>
                <w:szCs w:val="24"/>
                <w:color w:val="auto"/>
              </w:rPr>
            </w:pPr>
          </w:p>
        </w:tc>
        <w:tc>
          <w:tcPr>
            <w:tcW w:w="4740" w:type="dxa"/>
            <w:vAlign w:val="bottom"/>
          </w:tcPr>
          <w:p>
            <w:pPr>
              <w:jc w:val="center"/>
              <w:ind w:right="43"/>
              <w:spacing w:after="0"/>
              <w:rPr>
                <w:sz w:val="20"/>
                <w:szCs w:val="20"/>
                <w:color w:val="auto"/>
              </w:rPr>
            </w:pPr>
            <w:r>
              <w:rPr>
                <w:rFonts w:ascii="Arial" w:cs="Arial" w:eastAsia="Arial" w:hAnsi="Arial"/>
                <w:sz w:val="18"/>
                <w:szCs w:val="18"/>
                <w:b w:val="1"/>
                <w:bCs w:val="1"/>
                <w:color w:val="auto"/>
                <w:w w:val="99"/>
              </w:rPr>
              <w:t>Not Applicable</w:t>
            </w:r>
          </w:p>
        </w:tc>
        <w:tc>
          <w:tcPr>
            <w:tcW w:w="2480" w:type="dxa"/>
            <w:vAlign w:val="bottom"/>
          </w:tcPr>
          <w:p>
            <w:pPr>
              <w:spacing w:after="0"/>
              <w:rPr>
                <w:sz w:val="24"/>
                <w:szCs w:val="24"/>
                <w:color w:val="auto"/>
              </w:rPr>
            </w:pPr>
          </w:p>
        </w:tc>
      </w:tr>
      <w:tr>
        <w:trPr>
          <w:trHeight w:val="153"/>
        </w:trPr>
        <w:tc>
          <w:tcPr>
            <w:tcW w:w="2880" w:type="dxa"/>
            <w:vAlign w:val="bottom"/>
          </w:tcPr>
          <w:p>
            <w:pPr>
              <w:spacing w:after="0"/>
              <w:rPr>
                <w:sz w:val="13"/>
                <w:szCs w:val="13"/>
                <w:color w:val="auto"/>
              </w:rPr>
            </w:pPr>
          </w:p>
        </w:tc>
        <w:tc>
          <w:tcPr>
            <w:tcW w:w="4740" w:type="dxa"/>
            <w:vAlign w:val="bottom"/>
          </w:tcPr>
          <w:p>
            <w:pPr>
              <w:jc w:val="center"/>
              <w:ind w:right="43"/>
              <w:spacing w:after="0" w:line="153" w:lineRule="exact"/>
              <w:rPr>
                <w:sz w:val="20"/>
                <w:szCs w:val="20"/>
                <w:color w:val="auto"/>
              </w:rPr>
            </w:pPr>
            <w:r>
              <w:rPr>
                <w:rFonts w:ascii="Arial" w:cs="Arial" w:eastAsia="Arial" w:hAnsi="Arial"/>
                <w:sz w:val="14"/>
                <w:szCs w:val="14"/>
                <w:color w:val="auto"/>
              </w:rPr>
              <w:t>(Former name or former address, if changed since last report)</w:t>
            </w:r>
          </w:p>
        </w:tc>
        <w:tc>
          <w:tcPr>
            <w:tcW w:w="2480" w:type="dxa"/>
            <w:vAlign w:val="bottom"/>
          </w:tcPr>
          <w:p>
            <w:pPr>
              <w:spacing w:after="0"/>
              <w:rPr>
                <w:sz w:val="13"/>
                <w:szCs w:val="13"/>
                <w:color w:val="auto"/>
              </w:rPr>
            </w:pPr>
          </w:p>
        </w:tc>
      </w:tr>
      <w:tr>
        <w:trPr>
          <w:trHeight w:val="172"/>
        </w:trPr>
        <w:tc>
          <w:tcPr>
            <w:tcW w:w="2880" w:type="dxa"/>
            <w:vAlign w:val="bottom"/>
          </w:tcPr>
          <w:p>
            <w:pPr>
              <w:spacing w:after="0"/>
              <w:rPr>
                <w:sz w:val="14"/>
                <w:szCs w:val="14"/>
                <w:color w:val="auto"/>
              </w:rPr>
            </w:pPr>
          </w:p>
        </w:tc>
        <w:tc>
          <w:tcPr>
            <w:tcW w:w="4740" w:type="dxa"/>
            <w:vAlign w:val="bottom"/>
          </w:tcPr>
          <w:p>
            <w:pPr>
              <w:jc w:val="right"/>
              <w:ind w:right="203"/>
              <w:spacing w:after="0"/>
              <w:rPr>
                <w:sz w:val="20"/>
                <w:szCs w:val="20"/>
                <w:color w:val="auto"/>
              </w:rPr>
            </w:pPr>
            <w:r>
              <w:rPr>
                <w:rFonts w:ascii="Arial" w:cs="Arial" w:eastAsia="Arial" w:hAnsi="Arial"/>
                <w:sz w:val="14"/>
                <w:szCs w:val="14"/>
                <w:color w:val="auto"/>
              </w:rPr>
              <w:t>______________________________________________________</w:t>
            </w:r>
          </w:p>
        </w:tc>
        <w:tc>
          <w:tcPr>
            <w:tcW w:w="2480" w:type="dxa"/>
            <w:vAlign w:val="bottom"/>
          </w:tcPr>
          <w:p>
            <w:pPr>
              <w:spacing w:after="0"/>
              <w:rPr>
                <w:sz w:val="14"/>
                <w:szCs w:val="14"/>
                <w:color w:val="auto"/>
              </w:rPr>
            </w:pPr>
          </w:p>
        </w:tc>
      </w:tr>
    </w:tbl>
    <w:p>
      <w:pPr>
        <w:spacing w:after="0" w:line="192" w:lineRule="exact"/>
        <w:rPr>
          <w:sz w:val="24"/>
          <w:szCs w:val="24"/>
          <w:color w:val="auto"/>
        </w:rPr>
      </w:pPr>
    </w:p>
    <w:p>
      <w:pPr>
        <w:spacing w:after="0"/>
        <w:rPr>
          <w:sz w:val="20"/>
          <w:szCs w:val="20"/>
          <w:color w:val="auto"/>
        </w:rPr>
      </w:pPr>
      <w:r>
        <w:rPr>
          <w:rFonts w:ascii="Arial" w:cs="Arial" w:eastAsia="Arial" w:hAnsi="Arial"/>
          <w:sz w:val="14"/>
          <w:szCs w:val="14"/>
          <w:color w:val="auto"/>
        </w:rPr>
        <w:t>Check the appropriate box below if the Form 8-K filing is intended to simultaneously satisfy the filing obligation of the registrant under any of the following provisions:</w:t>
      </w:r>
    </w:p>
    <w:p>
      <w:pPr>
        <w:spacing w:after="0" w:line="231" w:lineRule="exact"/>
        <w:rPr>
          <w:sz w:val="24"/>
          <w:szCs w:val="24"/>
          <w:color w:val="auto"/>
        </w:rPr>
      </w:pPr>
    </w:p>
    <w:p>
      <w:pPr>
        <w:ind w:left="300" w:hanging="292"/>
        <w:spacing w:after="0"/>
        <w:tabs>
          <w:tab w:leader="none" w:pos="300" w:val="left"/>
        </w:tabs>
        <w:numPr>
          <w:ilvl w:val="0"/>
          <w:numId w:val="1"/>
        </w:numPr>
        <w:rPr>
          <w:rFonts w:ascii="MS PGothic" w:cs="MS PGothic" w:eastAsia="MS PGothic" w:hAnsi="MS PGothic"/>
          <w:sz w:val="14"/>
          <w:szCs w:val="14"/>
          <w:color w:val="auto"/>
        </w:rPr>
      </w:pPr>
      <w:r>
        <w:rPr>
          <w:rFonts w:ascii="Arial" w:cs="Arial" w:eastAsia="Arial" w:hAnsi="Arial"/>
          <w:sz w:val="14"/>
          <w:szCs w:val="14"/>
          <w:color w:val="auto"/>
        </w:rPr>
        <w:t>Written communications pursuant to Rule 425 under the Securities Act (17 CFR 230.425)</w:t>
      </w:r>
    </w:p>
    <w:p>
      <w:pPr>
        <w:spacing w:after="0" w:line="230" w:lineRule="exact"/>
        <w:rPr>
          <w:rFonts w:ascii="MS PGothic" w:cs="MS PGothic" w:eastAsia="MS PGothic" w:hAnsi="MS PGothic"/>
          <w:sz w:val="14"/>
          <w:szCs w:val="14"/>
          <w:color w:val="auto"/>
        </w:rPr>
      </w:pPr>
    </w:p>
    <w:p>
      <w:pPr>
        <w:ind w:left="300" w:hanging="292"/>
        <w:spacing w:after="0"/>
        <w:tabs>
          <w:tab w:leader="none" w:pos="300" w:val="left"/>
        </w:tabs>
        <w:numPr>
          <w:ilvl w:val="0"/>
          <w:numId w:val="1"/>
        </w:numPr>
        <w:rPr>
          <w:rFonts w:ascii="MS PGothic" w:cs="MS PGothic" w:eastAsia="MS PGothic" w:hAnsi="MS PGothic"/>
          <w:sz w:val="14"/>
          <w:szCs w:val="14"/>
          <w:color w:val="auto"/>
        </w:rPr>
      </w:pPr>
      <w:r>
        <w:rPr>
          <w:rFonts w:ascii="Arial" w:cs="Arial" w:eastAsia="Arial" w:hAnsi="Arial"/>
          <w:sz w:val="14"/>
          <w:szCs w:val="14"/>
          <w:color w:val="auto"/>
        </w:rPr>
        <w:t>Soliciting material pursuant to Rule 14a-12 under the Exchange Act (17 CFR 240.14a-12)</w:t>
      </w:r>
    </w:p>
    <w:p>
      <w:pPr>
        <w:spacing w:after="0" w:line="230" w:lineRule="exact"/>
        <w:rPr>
          <w:rFonts w:ascii="MS PGothic" w:cs="MS PGothic" w:eastAsia="MS PGothic" w:hAnsi="MS PGothic"/>
          <w:sz w:val="14"/>
          <w:szCs w:val="14"/>
          <w:color w:val="auto"/>
        </w:rPr>
      </w:pPr>
    </w:p>
    <w:p>
      <w:pPr>
        <w:ind w:left="300" w:hanging="292"/>
        <w:spacing w:after="0"/>
        <w:tabs>
          <w:tab w:leader="none" w:pos="300" w:val="left"/>
        </w:tabs>
        <w:numPr>
          <w:ilvl w:val="0"/>
          <w:numId w:val="1"/>
        </w:numPr>
        <w:rPr>
          <w:rFonts w:ascii="MS PGothic" w:cs="MS PGothic" w:eastAsia="MS PGothic" w:hAnsi="MS PGothic"/>
          <w:sz w:val="14"/>
          <w:szCs w:val="14"/>
          <w:color w:val="auto"/>
        </w:rPr>
      </w:pPr>
      <w:r>
        <w:rPr>
          <w:rFonts w:ascii="Arial" w:cs="Arial" w:eastAsia="Arial" w:hAnsi="Arial"/>
          <w:sz w:val="14"/>
          <w:szCs w:val="14"/>
          <w:color w:val="auto"/>
        </w:rPr>
        <w:t>Pre-commencement communications pursuant to Rule 14d-2(b) under the Exchange Act (17 CFR 240.14d-2(b))</w:t>
      </w:r>
    </w:p>
    <w:p>
      <w:pPr>
        <w:spacing w:after="0" w:line="230" w:lineRule="exact"/>
        <w:rPr>
          <w:rFonts w:ascii="MS PGothic" w:cs="MS PGothic" w:eastAsia="MS PGothic" w:hAnsi="MS PGothic"/>
          <w:sz w:val="14"/>
          <w:szCs w:val="14"/>
          <w:color w:val="auto"/>
        </w:rPr>
      </w:pPr>
    </w:p>
    <w:p>
      <w:pPr>
        <w:ind w:left="300" w:hanging="292"/>
        <w:spacing w:after="0"/>
        <w:tabs>
          <w:tab w:leader="none" w:pos="300" w:val="left"/>
        </w:tabs>
        <w:numPr>
          <w:ilvl w:val="0"/>
          <w:numId w:val="1"/>
        </w:numPr>
        <w:rPr>
          <w:rFonts w:ascii="MS PGothic" w:cs="MS PGothic" w:eastAsia="MS PGothic" w:hAnsi="MS PGothic"/>
          <w:sz w:val="14"/>
          <w:szCs w:val="14"/>
          <w:color w:val="auto"/>
        </w:rPr>
      </w:pPr>
      <w:r>
        <w:rPr>
          <w:rFonts w:ascii="Arial" w:cs="Arial" w:eastAsia="Arial" w:hAnsi="Arial"/>
          <w:sz w:val="14"/>
          <w:szCs w:val="14"/>
          <w:color w:val="auto"/>
        </w:rPr>
        <w:t>Pre-commencement communications pursuant to Rule 13e-4(c) under the Exchange Act (17 CFR 240.13e-4(c))</w:t>
      </w:r>
    </w:p>
    <w:p>
      <w:pPr>
        <w:spacing w:after="0" w:line="132"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Securities registered pursuant to Section 12(b) of the Act:</w:t>
      </w:r>
    </w:p>
    <w:p>
      <w:pPr>
        <w:sectPr>
          <w:pgSz w:w="11900" w:h="16838" w:orient="portrait"/>
          <w:cols w:equalWidth="0" w:num="1">
            <w:col w:w="11240"/>
          </w:cols>
          <w:pgMar w:left="320" w:top="1247" w:right="339" w:bottom="1440" w:gutter="0" w:footer="0" w:header="0"/>
        </w:sectPr>
      </w:pPr>
    </w:p>
    <w:p>
      <w:pPr>
        <w:spacing w:after="0" w:line="55" w:lineRule="exact"/>
        <w:rPr>
          <w:sz w:val="24"/>
          <w:szCs w:val="24"/>
          <w:color w:val="auto"/>
        </w:rPr>
      </w:pPr>
    </w:p>
    <w:p>
      <w:pPr>
        <w:ind w:left="1640"/>
        <w:spacing w:after="0"/>
        <w:rPr>
          <w:sz w:val="20"/>
          <w:szCs w:val="20"/>
          <w:color w:val="auto"/>
        </w:rPr>
      </w:pPr>
      <w:r>
        <w:rPr>
          <w:rFonts w:ascii="Arial" w:cs="Arial" w:eastAsia="Arial" w:hAnsi="Arial"/>
          <w:sz w:val="14"/>
          <w:szCs w:val="14"/>
          <w:b w:val="1"/>
          <w:bCs w:val="1"/>
          <w:color w:val="auto"/>
        </w:rPr>
        <w:t>Title of Each Class</w:t>
      </w:r>
    </w:p>
    <w:p>
      <w:pPr>
        <w:spacing w:after="0" w:line="20" w:lineRule="exact"/>
        <w:rPr>
          <w:sz w:val="24"/>
          <w:szCs w:val="24"/>
          <w:color w:val="auto"/>
        </w:rPr>
      </w:pPr>
      <w:r>
        <w:rPr>
          <w:sz w:val="24"/>
          <w:szCs w:val="24"/>
          <w:color w:val="auto"/>
        </w:rPr>
        <w:br w:type="column"/>
      </w:r>
    </w:p>
    <w:p>
      <w:pPr>
        <w:spacing w:after="0" w:line="35"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Trading Symbol</w:t>
      </w:r>
    </w:p>
    <w:p>
      <w:pPr>
        <w:spacing w:after="0" w:line="20" w:lineRule="exact"/>
        <w:rPr>
          <w:sz w:val="24"/>
          <w:szCs w:val="24"/>
          <w:color w:val="auto"/>
        </w:rPr>
      </w:pPr>
      <w:r>
        <w:rPr>
          <w:sz w:val="24"/>
          <w:szCs w:val="24"/>
          <w:color w:val="auto"/>
        </w:rPr>
        <w:br w:type="column"/>
      </w:r>
    </w:p>
    <w:p>
      <w:pPr>
        <w:spacing w:after="0" w:line="35"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Name of Each Exchange on Which Registered</w:t>
      </w:r>
    </w:p>
    <w:p>
      <w:pPr>
        <w:spacing w:after="0" w:line="73" w:lineRule="exact"/>
        <w:rPr>
          <w:sz w:val="24"/>
          <w:szCs w:val="24"/>
          <w:color w:val="auto"/>
        </w:rPr>
      </w:pPr>
    </w:p>
    <w:p>
      <w:pPr>
        <w:sectPr>
          <w:pgSz w:w="11900" w:h="16838" w:orient="portrait"/>
          <w:cols w:equalWidth="0" w:num="3">
            <w:col w:w="4360" w:space="720"/>
            <w:col w:w="1580" w:space="720"/>
            <w:col w:w="3860"/>
          </w:cols>
          <w:pgMar w:left="320" w:top="1247" w:right="339" w:bottom="1440" w:gutter="0" w:footer="0" w:header="0"/>
          <w:type w:val="continuous"/>
        </w:sectPr>
      </w:pPr>
    </w:p>
    <w:p>
      <w:pPr>
        <w:ind w:left="920"/>
        <w:spacing w:after="0"/>
        <w:rPr>
          <w:sz w:val="20"/>
          <w:szCs w:val="20"/>
          <w:color w:val="auto"/>
        </w:rPr>
      </w:pPr>
      <w:r>
        <w:rPr>
          <w:rFonts w:ascii="Arial" w:cs="Arial" w:eastAsia="Arial" w:hAnsi="Arial"/>
          <w:sz w:val="14"/>
          <w:szCs w:val="14"/>
          <w:color w:val="auto"/>
        </w:rPr>
        <w:t>Ordinary shares, $1.00 par value per share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FTI</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New York Stock Exchange</w:t>
      </w:r>
    </w:p>
    <w:p>
      <w:pPr>
        <w:spacing w:after="0" w:line="24" w:lineRule="exact"/>
        <w:rPr>
          <w:sz w:val="24"/>
          <w:szCs w:val="24"/>
          <w:color w:val="auto"/>
        </w:rPr>
      </w:pPr>
    </w:p>
    <w:p>
      <w:pPr>
        <w:sectPr>
          <w:pgSz w:w="11900" w:h="16838" w:orient="portrait"/>
          <w:cols w:equalWidth="0" w:num="3">
            <w:col w:w="4780" w:space="720"/>
            <w:col w:w="1900" w:space="720"/>
            <w:col w:w="3120"/>
          </w:cols>
          <w:pgMar w:left="320" w:top="1247" w:right="339" w:bottom="1440" w:gutter="0" w:footer="0" w:header="0"/>
          <w:type w:val="continuous"/>
        </w:sectPr>
      </w:pPr>
    </w:p>
    <w:p>
      <w:pPr>
        <w:jc w:val="center"/>
        <w:ind w:right="-19"/>
        <w:spacing w:after="0"/>
        <w:rPr>
          <w:sz w:val="20"/>
          <w:szCs w:val="20"/>
          <w:color w:val="auto"/>
        </w:rPr>
      </w:pPr>
      <w:r>
        <w:rPr>
          <w:rFonts w:ascii="Arial" w:cs="Arial" w:eastAsia="Arial" w:hAnsi="Arial"/>
          <w:sz w:val="14"/>
          <w:szCs w:val="14"/>
          <w:b w:val="1"/>
          <w:bCs w:val="1"/>
          <w:color w:val="auto"/>
        </w:rPr>
        <w:t xml:space="preserve">Securities registered pursuant to Section 12(g) of the Act: </w:t>
      </w:r>
      <w:r>
        <w:rPr>
          <w:rFonts w:ascii="Arial" w:cs="Arial" w:eastAsia="Arial" w:hAnsi="Arial"/>
          <w:sz w:val="14"/>
          <w:szCs w:val="14"/>
          <w:color w:val="auto"/>
        </w:rPr>
        <w:t>None.</w:t>
      </w:r>
    </w:p>
    <w:p>
      <w:pPr>
        <w:spacing w:after="0" w:line="289" w:lineRule="exact"/>
        <w:rPr>
          <w:sz w:val="24"/>
          <w:szCs w:val="24"/>
          <w:color w:val="auto"/>
        </w:rPr>
      </w:pPr>
    </w:p>
    <w:p>
      <w:pPr>
        <w:ind w:right="20"/>
        <w:spacing w:after="0" w:line="258" w:lineRule="auto"/>
        <w:rPr>
          <w:sz w:val="20"/>
          <w:szCs w:val="20"/>
          <w:color w:val="auto"/>
        </w:rPr>
      </w:pPr>
      <w:r>
        <w:rPr>
          <w:rFonts w:ascii="Arial" w:cs="Arial" w:eastAsia="Arial" w:hAnsi="Arial"/>
          <w:sz w:val="14"/>
          <w:szCs w:val="14"/>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22" w:lineRule="exact"/>
        <w:rPr>
          <w:sz w:val="24"/>
          <w:szCs w:val="24"/>
          <w:color w:val="auto"/>
        </w:rPr>
      </w:pPr>
    </w:p>
    <w:p>
      <w:pPr>
        <w:spacing w:after="0" w:line="161" w:lineRule="exact"/>
        <w:rPr>
          <w:sz w:val="20"/>
          <w:szCs w:val="20"/>
          <w:color w:val="auto"/>
        </w:rPr>
      </w:pPr>
      <w:r>
        <w:rPr>
          <w:rFonts w:ascii="Arial" w:cs="Arial" w:eastAsia="Arial" w:hAnsi="Arial"/>
          <w:sz w:val="14"/>
          <w:szCs w:val="14"/>
          <w:color w:val="auto"/>
        </w:rPr>
        <w:t xml:space="preserve">Emerging growth company </w:t>
      </w:r>
      <w:r>
        <w:rPr>
          <w:rFonts w:ascii="MS PGothic" w:cs="MS PGothic" w:eastAsia="MS PGothic" w:hAnsi="MS PGothic"/>
          <w:sz w:val="14"/>
          <w:szCs w:val="14"/>
          <w:color w:val="auto"/>
        </w:rPr>
        <w:t>☐</w:t>
      </w:r>
    </w:p>
    <w:p>
      <w:pPr>
        <w:spacing w:after="0" w:line="146" w:lineRule="exact"/>
        <w:rPr>
          <w:sz w:val="24"/>
          <w:szCs w:val="24"/>
          <w:color w:val="auto"/>
        </w:rPr>
      </w:pPr>
    </w:p>
    <w:p>
      <w:pPr>
        <w:spacing w:after="0" w:line="176" w:lineRule="exact"/>
        <w:rPr>
          <w:sz w:val="20"/>
          <w:szCs w:val="20"/>
          <w:color w:val="auto"/>
        </w:rPr>
      </w:pPr>
      <w:r>
        <w:rPr>
          <w:rFonts w:ascii="Arial" w:cs="Arial" w:eastAsia="Arial" w:hAnsi="Arial"/>
          <w:sz w:val="14"/>
          <w:szCs w:val="14"/>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4"/>
          <w:szCs w:val="14"/>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717550</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13335</wp:posOffset>
            </wp:positionH>
            <wp:positionV relativeFrom="paragraph">
              <wp:posOffset>100330</wp:posOffset>
            </wp:positionV>
            <wp:extent cx="711517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15175" cy="8890"/>
                    </a:xfrm>
                    <a:prstGeom prst="rect">
                      <a:avLst/>
                    </a:prstGeom>
                    <a:noFill/>
                  </pic:spPr>
                </pic:pic>
              </a:graphicData>
            </a:graphic>
          </wp:anchor>
        </w:drawing>
        <w:drawing>
          <wp:anchor simplePos="0" relativeHeight="251657728" behindDoc="1" locked="0" layoutInCell="0" allowOverlap="1">
            <wp:simplePos x="0" y="0"/>
            <wp:positionH relativeFrom="column">
              <wp:posOffset>13335</wp:posOffset>
            </wp:positionH>
            <wp:positionV relativeFrom="paragraph">
              <wp:posOffset>66040</wp:posOffset>
            </wp:positionV>
            <wp:extent cx="711517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15175" cy="8890"/>
                    </a:xfrm>
                    <a:prstGeom prst="rect">
                      <a:avLst/>
                    </a:prstGeom>
                    <a:noFill/>
                  </pic:spPr>
                </pic:pic>
              </a:graphicData>
            </a:graphic>
          </wp:anchor>
        </w:drawing>
      </w:r>
    </w:p>
    <w:p>
      <w:pPr>
        <w:sectPr>
          <w:pgSz w:w="11900" w:h="16838" w:orient="portrait"/>
          <w:cols w:equalWidth="0" w:num="1">
            <w:col w:w="11240"/>
          </w:cols>
          <w:pgMar w:left="320" w:top="1247" w:right="339" w:bottom="1440" w:gutter="0" w:footer="0" w:header="0"/>
          <w:type w:val="continuous"/>
        </w:sectPr>
      </w:pPr>
    </w:p>
    <w:bookmarkStart w:id="1" w:name="page2"/>
    <w:bookmarkEnd w:id="1"/>
    <w:p>
      <w:pPr>
        <w:ind w:right="800"/>
        <w:spacing w:after="0" w:line="287" w:lineRule="auto"/>
        <w:rPr>
          <w:sz w:val="20"/>
          <w:szCs w:val="20"/>
          <w:color w:val="auto"/>
        </w:rPr>
      </w:pPr>
      <w:r>
        <w:rPr>
          <w:rFonts w:ascii="Arial" w:cs="Arial" w:eastAsia="Arial" w:hAnsi="Arial"/>
          <w:sz w:val="18"/>
          <w:szCs w:val="18"/>
          <w:b w:val="1"/>
          <w:bCs w:val="1"/>
          <w:color w:val="auto"/>
        </w:rPr>
        <w:t>Item 5.02 Departure of Directors or Certain Officers; Election of Directors; Appointment of Certain Officers; Compensatory Arrangements of Certain Officers</w:t>
      </w:r>
    </w:p>
    <w:p>
      <w:pPr>
        <w:spacing w:after="0" w:line="121" w:lineRule="exact"/>
        <w:rPr>
          <w:sz w:val="20"/>
          <w:szCs w:val="20"/>
          <w:color w:val="auto"/>
        </w:rPr>
      </w:pPr>
    </w:p>
    <w:p>
      <w:pPr>
        <w:jc w:val="both"/>
        <w:ind w:firstLine="8"/>
        <w:spacing w:after="0" w:line="256" w:lineRule="auto"/>
        <w:tabs>
          <w:tab w:leader="none" w:pos="283" w:val="left"/>
        </w:tabs>
        <w:numPr>
          <w:ilvl w:val="0"/>
          <w:numId w:val="2"/>
        </w:numPr>
        <w:rPr>
          <w:rFonts w:ascii="Arial" w:cs="Arial" w:eastAsia="Arial" w:hAnsi="Arial"/>
          <w:sz w:val="18"/>
          <w:szCs w:val="18"/>
          <w:color w:val="auto"/>
        </w:rPr>
      </w:pPr>
      <w:r>
        <w:rPr>
          <w:rFonts w:ascii="Arial" w:cs="Arial" w:eastAsia="Arial" w:hAnsi="Arial"/>
          <w:sz w:val="18"/>
          <w:szCs w:val="18"/>
          <w:color w:val="auto"/>
        </w:rPr>
        <w:t>On September 30, 2020, upon the recommendation of the Environmental, Social, and Governance Committee (the “Committee”) of the Board of Directors (the “Board”) of TechnipFMC plc (the “Company”), the Board unanimously appointed Ms. Margareth Øvrum as a director of the Company, effective October 1, 2020.</w:t>
      </w:r>
    </w:p>
    <w:p>
      <w:pPr>
        <w:spacing w:after="0" w:line="148"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For her service, Ms. Øvrum will receive compensation commensurate with that received by the Company’s other non-executive directors as disclosed under the caption “Director Compensation” in the Company’s Definitive Proxy Statement, filed with the Securities and Exchange Commission on March 13, 2020, prorated to reflect her length of service in 2020. Such compensation is in accordance with the Company’s shareholder-approved Director Remuneration Policy.</w:t>
      </w:r>
    </w:p>
    <w:p>
      <w:pPr>
        <w:spacing w:after="0" w:line="150" w:lineRule="exact"/>
        <w:rPr>
          <w:sz w:val="20"/>
          <w:szCs w:val="20"/>
          <w:color w:val="auto"/>
        </w:rPr>
      </w:pPr>
    </w:p>
    <w:p>
      <w:pPr>
        <w:jc w:val="both"/>
        <w:spacing w:after="0" w:line="261" w:lineRule="auto"/>
        <w:rPr>
          <w:sz w:val="20"/>
          <w:szCs w:val="20"/>
          <w:color w:val="auto"/>
        </w:rPr>
      </w:pPr>
      <w:r>
        <w:rPr>
          <w:rFonts w:ascii="Arial" w:cs="Arial" w:eastAsia="Arial" w:hAnsi="Arial"/>
          <w:sz w:val="18"/>
          <w:szCs w:val="18"/>
          <w:color w:val="auto"/>
        </w:rPr>
        <w:t>On October 1, 2020 the Company issued a news release announcing Ms. Øvrum’s appointment, a copy of which is filed herewith as Exhibit 99.1.</w:t>
      </w:r>
    </w:p>
    <w:p>
      <w:pPr>
        <w:spacing w:after="0" w:line="1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03" w:lineRule="exact"/>
        <w:rPr>
          <w:sz w:val="20"/>
          <w:szCs w:val="20"/>
          <w:color w:val="auto"/>
        </w:rPr>
      </w:pPr>
    </w:p>
    <w:p>
      <w:pPr>
        <w:ind w:left="280"/>
        <w:spacing w:after="0"/>
        <w:tabs>
          <w:tab w:leader="none" w:pos="2000" w:val="left"/>
        </w:tabs>
        <w:rPr>
          <w:sz w:val="20"/>
          <w:szCs w:val="20"/>
          <w:color w:val="auto"/>
        </w:rPr>
      </w:pPr>
      <w:r>
        <w:rPr>
          <w:rFonts w:ascii="Arial" w:cs="Arial" w:eastAsia="Arial" w:hAnsi="Arial"/>
          <w:sz w:val="18"/>
          <w:szCs w:val="18"/>
          <w:b w:val="1"/>
          <w:bCs w:val="1"/>
          <w:color w:val="auto"/>
        </w:rPr>
        <w:t>Exhibit No.</w:t>
      </w:r>
      <w:r>
        <w:rPr>
          <w:sz w:val="20"/>
          <w:szCs w:val="20"/>
          <w:color w:val="auto"/>
        </w:rPr>
        <w:tab/>
      </w:r>
      <w:r>
        <w:rPr>
          <w:rFonts w:ascii="Arial" w:cs="Arial" w:eastAsia="Arial" w:hAnsi="Arial"/>
          <w:sz w:val="17"/>
          <w:szCs w:val="17"/>
          <w:b w:val="1"/>
          <w:bCs w:val="1"/>
          <w:color w:val="auto"/>
        </w:rPr>
        <w:t>Description of Exhibit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28575</wp:posOffset>
            </wp:positionV>
            <wp:extent cx="665226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652260" cy="8255"/>
                    </a:xfrm>
                    <a:prstGeom prst="rect">
                      <a:avLst/>
                    </a:prstGeom>
                    <a:noFill/>
                  </pic:spPr>
                </pic:pic>
              </a:graphicData>
            </a:graphic>
          </wp:anchor>
        </w:drawing>
      </w:r>
    </w:p>
    <w:p>
      <w:pPr>
        <w:spacing w:after="0" w:line="65" w:lineRule="exact"/>
        <w:rPr>
          <w:sz w:val="20"/>
          <w:szCs w:val="20"/>
          <w:color w:val="auto"/>
        </w:rPr>
      </w:pPr>
    </w:p>
    <w:p>
      <w:pPr>
        <w:ind w:left="1140"/>
        <w:spacing w:after="0"/>
        <w:tabs>
          <w:tab w:leader="none" w:pos="200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7"/>
          <w:szCs w:val="17"/>
          <w:color w:val="auto"/>
        </w:rPr>
        <w:t>News Release issued by TechnipFMC plc dated October 1, 2020</w:t>
      </w:r>
    </w:p>
    <w:p>
      <w:pPr>
        <w:spacing w:after="0" w:line="50" w:lineRule="exact"/>
        <w:rPr>
          <w:sz w:val="20"/>
          <w:szCs w:val="20"/>
          <w:color w:val="auto"/>
        </w:rPr>
      </w:pPr>
    </w:p>
    <w:p>
      <w:pPr>
        <w:ind w:left="1180"/>
        <w:spacing w:after="0"/>
        <w:tabs>
          <w:tab w:leader="none" w:pos="200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8"/>
          <w:szCs w:val="18"/>
          <w:color w:val="auto"/>
        </w:rPr>
        <w:t>Inline XBRL for the cover page of this Current Report on Form 8-K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675005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86" w:right="3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74" w:lineRule="exact"/>
        <w:rPr>
          <w:sz w:val="20"/>
          <w:szCs w:val="20"/>
          <w:color w:val="auto"/>
        </w:rPr>
      </w:pPr>
    </w:p>
    <w:p>
      <w:pPr>
        <w:spacing w:after="0" w:line="261"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51" w:lineRule="exact"/>
        <w:rPr>
          <w:sz w:val="20"/>
          <w:szCs w:val="20"/>
          <w:color w:val="auto"/>
        </w:rPr>
      </w:pPr>
    </w:p>
    <w:p>
      <w:pPr>
        <w:ind w:left="3340"/>
        <w:spacing w:after="0"/>
        <w:rPr>
          <w:sz w:val="20"/>
          <w:szCs w:val="20"/>
          <w:color w:val="auto"/>
        </w:rPr>
      </w:pPr>
      <w:r>
        <w:rPr>
          <w:rFonts w:ascii="Arial" w:cs="Arial" w:eastAsia="Arial" w:hAnsi="Arial"/>
          <w:sz w:val="18"/>
          <w:szCs w:val="18"/>
          <w:b w:val="1"/>
          <w:bCs w:val="1"/>
          <w:color w:val="auto"/>
        </w:rPr>
        <w:t>TechnipFMC plc</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3340"/>
        <w:spacing w:after="0"/>
        <w:rPr>
          <w:sz w:val="20"/>
          <w:szCs w:val="20"/>
          <w:color w:val="auto"/>
        </w:rPr>
      </w:pPr>
      <w:r>
        <w:rPr>
          <w:rFonts w:ascii="Arial" w:cs="Arial" w:eastAsia="Arial" w:hAnsi="Arial"/>
          <w:sz w:val="18"/>
          <w:szCs w:val="18"/>
          <w:color w:val="auto"/>
        </w:rPr>
        <w:t>By: /s/ Maryann T. Mannen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2113915</wp:posOffset>
            </wp:positionH>
            <wp:positionV relativeFrom="paragraph">
              <wp:posOffset>14605</wp:posOffset>
            </wp:positionV>
            <wp:extent cx="331724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317240" cy="8255"/>
                    </a:xfrm>
                    <a:prstGeom prst="rect">
                      <a:avLst/>
                    </a:prstGeom>
                    <a:noFill/>
                  </pic:spPr>
                </pic:pic>
              </a:graphicData>
            </a:graphic>
          </wp:anchor>
        </w:drawing>
      </w:r>
    </w:p>
    <w:p>
      <w:pPr>
        <w:spacing w:after="0" w:line="43" w:lineRule="exact"/>
        <w:rPr>
          <w:sz w:val="20"/>
          <w:szCs w:val="20"/>
          <w:color w:val="auto"/>
        </w:rPr>
      </w:pPr>
    </w:p>
    <w:p>
      <w:pPr>
        <w:ind w:left="20"/>
        <w:spacing w:after="0"/>
        <w:tabs>
          <w:tab w:leader="none" w:pos="720" w:val="left"/>
          <w:tab w:leader="none" w:pos="3320" w:val="left"/>
        </w:tabs>
        <w:rPr>
          <w:sz w:val="20"/>
          <w:szCs w:val="20"/>
          <w:color w:val="auto"/>
        </w:rPr>
      </w:pPr>
      <w:r>
        <w:rPr>
          <w:rFonts w:ascii="Arial" w:cs="Arial" w:eastAsia="Arial" w:hAnsi="Arial"/>
          <w:sz w:val="18"/>
          <w:szCs w:val="18"/>
          <w:color w:val="auto"/>
        </w:rPr>
        <w:t>Dated:</w:t>
        <w:tab/>
        <w:t>October 1, 2020</w:t>
      </w:r>
      <w:r>
        <w:rPr>
          <w:sz w:val="20"/>
          <w:szCs w:val="20"/>
          <w:color w:val="auto"/>
        </w:rPr>
        <w:tab/>
      </w:r>
      <w:r>
        <w:rPr>
          <w:rFonts w:ascii="Arial" w:cs="Arial" w:eastAsia="Arial" w:hAnsi="Arial"/>
          <w:sz w:val="17"/>
          <w:szCs w:val="17"/>
          <w:color w:val="auto"/>
        </w:rPr>
        <w:t>Name: Maryann T. Mannen</w:t>
      </w:r>
    </w:p>
    <w:p>
      <w:pPr>
        <w:spacing w:after="0" w:line="50" w:lineRule="exact"/>
        <w:rPr>
          <w:sz w:val="20"/>
          <w:szCs w:val="20"/>
          <w:color w:val="auto"/>
        </w:rPr>
      </w:pPr>
    </w:p>
    <w:p>
      <w:pPr>
        <w:ind w:left="3340"/>
        <w:spacing w:after="0"/>
        <w:rPr>
          <w:sz w:val="20"/>
          <w:szCs w:val="20"/>
          <w:color w:val="auto"/>
        </w:rPr>
      </w:pPr>
      <w:r>
        <w:rPr>
          <w:rFonts w:ascii="Arial" w:cs="Arial" w:eastAsia="Arial" w:hAnsi="Arial"/>
          <w:sz w:val="18"/>
          <w:szCs w:val="18"/>
          <w:color w:val="auto"/>
        </w:rPr>
        <w:t>Title: Executive Vice President and</w:t>
      </w:r>
    </w:p>
    <w:p>
      <w:pPr>
        <w:spacing w:after="0" w:line="50"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932180</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886" w:right="359" w:bottom="1440" w:gutter="0" w:footer="0" w:header="0"/>
        </w:sectPr>
      </w:pPr>
    </w:p>
    <w:bookmarkStart w:id="3" w:name="page4"/>
    <w:bookmarkEnd w:id="3"/>
    <w:p>
      <w:pPr>
        <w:ind w:left="4680"/>
        <w:spacing w:after="0"/>
        <w:rPr>
          <w:sz w:val="20"/>
          <w:szCs w:val="20"/>
          <w:color w:val="auto"/>
        </w:rPr>
      </w:pPr>
      <w:r>
        <w:rPr>
          <w:rFonts w:ascii="Arial" w:cs="Arial" w:eastAsia="Arial" w:hAnsi="Arial"/>
          <w:sz w:val="18"/>
          <w:szCs w:val="18"/>
          <w:b w:val="1"/>
          <w:bCs w:val="1"/>
          <w:color w:val="auto"/>
        </w:rPr>
        <w:t>EXHIBIT INDEX</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spacing w:after="0"/>
        <w:tabs>
          <w:tab w:leader="none" w:pos="1720" w:val="left"/>
        </w:tabs>
        <w:rPr>
          <w:sz w:val="20"/>
          <w:szCs w:val="20"/>
          <w:color w:val="auto"/>
        </w:rPr>
      </w:pPr>
      <w:r>
        <w:rPr>
          <w:rFonts w:ascii="Arial" w:cs="Arial" w:eastAsia="Arial" w:hAnsi="Arial"/>
          <w:sz w:val="18"/>
          <w:szCs w:val="18"/>
          <w:b w:val="1"/>
          <w:bCs w:val="1"/>
          <w:color w:val="auto"/>
        </w:rPr>
        <w:t>Exhibit No.</w:t>
      </w:r>
      <w:r>
        <w:rPr>
          <w:sz w:val="20"/>
          <w:szCs w:val="20"/>
          <w:color w:val="auto"/>
        </w:rPr>
        <w:tab/>
      </w:r>
      <w:r>
        <w:rPr>
          <w:rFonts w:ascii="Arial" w:cs="Arial" w:eastAsia="Arial" w:hAnsi="Arial"/>
          <w:sz w:val="17"/>
          <w:szCs w:val="17"/>
          <w:b w:val="1"/>
          <w:bCs w:val="1"/>
          <w:color w:val="auto"/>
        </w:rPr>
        <w:t>Description of Exhibit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-172085</wp:posOffset>
            </wp:positionH>
            <wp:positionV relativeFrom="paragraph">
              <wp:posOffset>28575</wp:posOffset>
            </wp:positionV>
            <wp:extent cx="665226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652260" cy="8890"/>
                    </a:xfrm>
                    <a:prstGeom prst="rect">
                      <a:avLst/>
                    </a:prstGeom>
                    <a:noFill/>
                  </pic:spPr>
                </pic:pic>
              </a:graphicData>
            </a:graphic>
          </wp:anchor>
        </w:drawing>
      </w:r>
    </w:p>
    <w:p>
      <w:pPr>
        <w:spacing w:after="0" w:line="65" w:lineRule="exact"/>
        <w:rPr>
          <w:sz w:val="20"/>
          <w:szCs w:val="20"/>
          <w:color w:val="auto"/>
        </w:rPr>
      </w:pPr>
    </w:p>
    <w:p>
      <w:pPr>
        <w:ind w:left="860"/>
        <w:spacing w:after="0"/>
        <w:tabs>
          <w:tab w:leader="none" w:pos="1720" w:val="left"/>
        </w:tabs>
        <w:rPr>
          <w:rFonts w:ascii="Arial" w:cs="Arial" w:eastAsia="Arial" w:hAnsi="Arial"/>
          <w:sz w:val="17"/>
          <w:szCs w:val="17"/>
          <w:u w:val="single" w:color="auto"/>
          <w:color w:val="0000FF"/>
        </w:rPr>
      </w:pPr>
      <w:r>
        <w:rPr>
          <w:rFonts w:ascii="Arial" w:cs="Arial" w:eastAsia="Arial" w:hAnsi="Arial"/>
          <w:sz w:val="18"/>
          <w:szCs w:val="18"/>
          <w:color w:val="auto"/>
        </w:rPr>
        <w:t>99.1</w:t>
      </w:r>
      <w:r>
        <w:rPr>
          <w:sz w:val="20"/>
          <w:szCs w:val="20"/>
          <w:color w:val="auto"/>
        </w:rPr>
        <w:tab/>
      </w:r>
      <w:hyperlink w:anchor="page5">
        <w:r>
          <w:rPr>
            <w:rFonts w:ascii="Arial" w:cs="Arial" w:eastAsia="Arial" w:hAnsi="Arial"/>
            <w:sz w:val="17"/>
            <w:szCs w:val="17"/>
            <w:u w:val="single" w:color="auto"/>
            <w:color w:val="0000FF"/>
          </w:rPr>
          <w:t>News Release issued by TechnipFMC plc dated October 1, 2020</w:t>
        </w:r>
      </w:hyperlink>
    </w:p>
    <w:p>
      <w:pPr>
        <w:spacing w:after="0" w:line="50" w:lineRule="exact"/>
        <w:rPr>
          <w:sz w:val="20"/>
          <w:szCs w:val="20"/>
          <w:color w:val="auto"/>
        </w:rPr>
      </w:pPr>
    </w:p>
    <w:p>
      <w:pPr>
        <w:jc w:val="both"/>
        <w:ind w:left="900"/>
        <w:spacing w:after="0"/>
        <w:tabs>
          <w:tab w:leader="none" w:pos="172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8"/>
          <w:szCs w:val="18"/>
          <w:color w:val="auto"/>
        </w:rPr>
        <w:t>Inline XBRL for the cover page of this Current Report on Form 8-K</w:t>
      </w:r>
    </w:p>
    <w:p>
      <w:pPr>
        <w:sectPr>
          <w:pgSz w:w="11900" w:h="16838" w:orient="portrait"/>
          <w:cols w:equalWidth="0" w:num="1">
            <w:col w:w="9859"/>
          </w:cols>
          <w:pgMar w:left="600" w:top="886" w:right="1440" w:bottom="1440" w:gutter="0" w:footer="0" w:header="0"/>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1271905</wp:posOffset>
            </wp:positionV>
            <wp:extent cx="2468880" cy="4457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2468880" cy="4457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spacing w:after="0"/>
        <w:rPr>
          <w:sz w:val="20"/>
          <w:szCs w:val="20"/>
          <w:color w:val="auto"/>
        </w:rPr>
      </w:pPr>
      <w:r>
        <w:rPr>
          <w:rFonts w:ascii="Arial" w:cs="Arial" w:eastAsia="Arial" w:hAnsi="Arial"/>
          <w:sz w:val="29"/>
          <w:szCs w:val="29"/>
          <w:color w:val="A6A6A6"/>
        </w:rPr>
        <w:t>Press Release</w:t>
      </w:r>
    </w:p>
    <w:p>
      <w:pPr>
        <w:spacing w:after="0" w:line="31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TechnipFMC appoints Margareth Øvrum to its Board of Directors</w:t>
      </w:r>
    </w:p>
    <w:p>
      <w:pPr>
        <w:spacing w:after="0" w:line="247" w:lineRule="exact"/>
        <w:rPr>
          <w:sz w:val="20"/>
          <w:szCs w:val="20"/>
          <w:color w:val="auto"/>
        </w:rPr>
      </w:pPr>
    </w:p>
    <w:p>
      <w:pPr>
        <w:jc w:val="both"/>
        <w:ind w:right="20"/>
        <w:spacing w:after="0" w:line="258" w:lineRule="auto"/>
        <w:rPr>
          <w:sz w:val="20"/>
          <w:szCs w:val="20"/>
          <w:color w:val="auto"/>
        </w:rPr>
      </w:pPr>
      <w:r>
        <w:rPr>
          <w:rFonts w:ascii="Arial" w:cs="Arial" w:eastAsia="Arial" w:hAnsi="Arial"/>
          <w:sz w:val="22"/>
          <w:szCs w:val="22"/>
          <w:b w:val="1"/>
          <w:bCs w:val="1"/>
          <w:color w:val="auto"/>
        </w:rPr>
        <w:t xml:space="preserve">LONDON, PARIS, HOUSTON, October 1, 2020 </w:t>
      </w:r>
      <w:r>
        <w:rPr>
          <w:rFonts w:ascii="Arial" w:cs="Arial" w:eastAsia="Arial" w:hAnsi="Arial"/>
          <w:sz w:val="22"/>
          <w:szCs w:val="22"/>
          <w:color w:val="auto"/>
        </w:rPr>
        <w:t>— TechnipFMC (NYSE: FTI) (PARIS: FTI) announces today that</w:t>
      </w:r>
      <w:r>
        <w:rPr>
          <w:rFonts w:ascii="Arial" w:cs="Arial" w:eastAsia="Arial" w:hAnsi="Arial"/>
          <w:sz w:val="22"/>
          <w:szCs w:val="22"/>
          <w:b w:val="1"/>
          <w:bCs w:val="1"/>
          <w:color w:val="auto"/>
        </w:rPr>
        <w:t xml:space="preserve"> </w:t>
      </w:r>
      <w:r>
        <w:rPr>
          <w:rFonts w:ascii="Arial" w:cs="Arial" w:eastAsia="Arial" w:hAnsi="Arial"/>
          <w:sz w:val="22"/>
          <w:szCs w:val="22"/>
          <w:color w:val="auto"/>
        </w:rPr>
        <w:t>Margareth Øvrum, Executive Vice President of Equinor ASA, Development and Production Brazil, has been appointed to its Board of Directors, effective October 1, 2020.</w:t>
      </w:r>
    </w:p>
    <w:p>
      <w:pPr>
        <w:spacing w:after="0" w:line="223" w:lineRule="exact"/>
        <w:rPr>
          <w:sz w:val="20"/>
          <w:szCs w:val="20"/>
          <w:color w:val="auto"/>
        </w:rPr>
      </w:pPr>
    </w:p>
    <w:p>
      <w:pPr>
        <w:jc w:val="both"/>
        <w:spacing w:after="0" w:line="244" w:lineRule="auto"/>
        <w:rPr>
          <w:sz w:val="20"/>
          <w:szCs w:val="20"/>
          <w:color w:val="auto"/>
        </w:rPr>
      </w:pPr>
      <w:r>
        <w:rPr>
          <w:rFonts w:ascii="Arial" w:cs="Arial" w:eastAsia="Arial" w:hAnsi="Arial"/>
          <w:sz w:val="22"/>
          <w:szCs w:val="22"/>
          <w:color w:val="auto"/>
        </w:rPr>
        <w:t>Doug Pferdehirt, Chairman and CEO of TechnipFMC, stated “I am delighted to welcome Margareth to the Board. She brings proven business leadership and a global perspective gained in board and executive positions of international public companies. Margareth’s extensive knowledge of projects, technology, health and safety, sustainability, and digital transformation will be invaluable as we continue to expand our capabilities. Margareth will deeply complement our Board of Directors, strengthening the Board’s range of aptitude and expertise.”</w:t>
      </w:r>
    </w:p>
    <w:p>
      <w:pPr>
        <w:spacing w:after="0" w:line="21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Margareth Øvrum</w:t>
      </w:r>
    </w:p>
    <w:p>
      <w:pPr>
        <w:spacing w:after="0" w:line="273" w:lineRule="exact"/>
        <w:rPr>
          <w:sz w:val="20"/>
          <w:szCs w:val="20"/>
          <w:color w:val="auto"/>
        </w:rPr>
      </w:pPr>
    </w:p>
    <w:p>
      <w:pPr>
        <w:jc w:val="both"/>
        <w:spacing w:after="0" w:line="241" w:lineRule="auto"/>
        <w:rPr>
          <w:sz w:val="20"/>
          <w:szCs w:val="20"/>
          <w:color w:val="auto"/>
        </w:rPr>
      </w:pPr>
      <w:r>
        <w:rPr>
          <w:rFonts w:ascii="Arial" w:cs="Arial" w:eastAsia="Arial" w:hAnsi="Arial"/>
          <w:sz w:val="22"/>
          <w:szCs w:val="22"/>
          <w:color w:val="auto"/>
        </w:rPr>
        <w:t>Ms. Øvrum, 62, has over 38 years of experience at Equinor (formerly Statoil), a Norwegian energy company, currently serving as Executive Vice President of Equinor ASA, Development and Production Brazil. Ms. Øvrum will retire from Equinor as of January 1, 2021. Ms. Øvrum has held a succession of leadership positions at Equinor, including President, Equinor Brazil, from 2018 to 2020; Executive Vice President of Technology, Projects, and Drilling, from 2011 to 2018, Executive Vice President of Technology and New Energy for Statoil Hydro, from 2007 to 2011, Executive Vice President of Technology and Projects, from 2004 to 2007, and Executive Vice President of Health, Safety, and the Environment, during 2004. Ms. Øvrum is currently on the Board of Directors of FMC Corporation. She previously served on the Boards of Directors of Alfa Laval AB (2015 to 2019), Atlas Copco AB (2008 to 2017), and Ratos AB (2009 to 2014). Ms. Øvrum holds a Master of Science degree in Technical Physics from the Norwegian Technical University (now part of the Norwegian University of Science and Technology).</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xml:space="preserve">Page </w:t>
      </w:r>
      <w:r>
        <w:rPr>
          <w:rFonts w:ascii="Arial" w:cs="Arial" w:eastAsia="Arial" w:hAnsi="Arial"/>
          <w:sz w:val="20"/>
          <w:szCs w:val="20"/>
          <w:b w:val="1"/>
          <w:bCs w:val="1"/>
          <w:color w:val="auto"/>
        </w:rPr>
        <w:t>1</w:t>
      </w:r>
      <w:r>
        <w:rPr>
          <w:rFonts w:ascii="Arial" w:cs="Arial" w:eastAsia="Arial" w:hAnsi="Arial"/>
          <w:sz w:val="20"/>
          <w:szCs w:val="20"/>
          <w:color w:val="auto"/>
        </w:rPr>
        <w:t xml:space="preserve"> of </w:t>
      </w:r>
      <w:r>
        <w:rPr>
          <w:rFonts w:ascii="Arial" w:cs="Arial" w:eastAsia="Arial" w:hAnsi="Arial"/>
          <w:sz w:val="20"/>
          <w:szCs w:val="20"/>
          <w:b w:val="1"/>
          <w:bCs w:val="1"/>
          <w:color w:val="auto"/>
        </w:rPr>
        <w:t>2</w:t>
      </w:r>
    </w:p>
    <w:p>
      <w:pPr>
        <w:sectPr>
          <w:pgSz w:w="11900" w:h="16838" w:orient="portrait"/>
          <w:cols w:equalWidth="0" w:num="1">
            <w:col w:w="11240"/>
          </w:cols>
          <w:pgMar w:left="320" w:top="1440" w:right="339" w:bottom="1440" w:gutter="0" w:footer="0" w:header="0"/>
        </w:sectPr>
      </w:pPr>
    </w:p>
    <w:bookmarkStart w:id="5" w:name="page6"/>
    <w:bookmarkEnd w:id="5"/>
    <w:p>
      <w:pPr>
        <w:spacing w:after="0"/>
        <w:rPr>
          <w:sz w:val="20"/>
          <w:szCs w:val="20"/>
          <w:color w:val="auto"/>
        </w:rPr>
      </w:pPr>
      <w:r>
        <w:rPr>
          <w:rFonts w:ascii="Arial" w:cs="Arial" w:eastAsia="Arial" w:hAnsi="Arial"/>
          <w:sz w:val="20"/>
          <w:szCs w:val="20"/>
          <w:b w:val="1"/>
          <w:bCs w:val="1"/>
          <w:i w:val="1"/>
          <w:iCs w:val="1"/>
          <w:color w:val="808080"/>
        </w:rPr>
        <w:t>About TechnipFMC</w:t>
      </w:r>
    </w:p>
    <w:p>
      <w:pPr>
        <w:spacing w:after="0" w:line="260" w:lineRule="exact"/>
        <w:rPr>
          <w:sz w:val="20"/>
          <w:szCs w:val="20"/>
          <w:color w:val="auto"/>
        </w:rPr>
      </w:pPr>
    </w:p>
    <w:p>
      <w:pPr>
        <w:jc w:val="both"/>
        <w:spacing w:after="0" w:line="253" w:lineRule="auto"/>
        <w:rPr>
          <w:sz w:val="20"/>
          <w:szCs w:val="20"/>
          <w:color w:val="auto"/>
        </w:rPr>
      </w:pPr>
      <w:r>
        <w:rPr>
          <w:rFonts w:ascii="Arial" w:cs="Arial" w:eastAsia="Arial" w:hAnsi="Arial"/>
          <w:sz w:val="20"/>
          <w:szCs w:val="20"/>
          <w:i w:val="1"/>
          <w:iCs w:val="1"/>
          <w:color w:val="auto"/>
        </w:rPr>
        <w:t>TechnipFMC is a global leader in the energy industry, delivering projects, products, technologies and services. With our proprietary technologies and production systems, integrated expertise, and comprehensive solutions, we are transforming our customers’ project economics.</w:t>
      </w:r>
    </w:p>
    <w:p>
      <w:pPr>
        <w:spacing w:after="0" w:line="204" w:lineRule="exact"/>
        <w:rPr>
          <w:sz w:val="20"/>
          <w:szCs w:val="20"/>
          <w:color w:val="auto"/>
        </w:rPr>
      </w:pPr>
    </w:p>
    <w:p>
      <w:pPr>
        <w:jc w:val="both"/>
        <w:spacing w:after="0" w:line="248" w:lineRule="auto"/>
        <w:rPr>
          <w:sz w:val="20"/>
          <w:szCs w:val="20"/>
          <w:color w:val="auto"/>
        </w:rPr>
      </w:pPr>
      <w:r>
        <w:rPr>
          <w:rFonts w:ascii="Arial" w:cs="Arial" w:eastAsia="Arial" w:hAnsi="Arial"/>
          <w:sz w:val="20"/>
          <w:szCs w:val="20"/>
          <w:i w:val="1"/>
          <w:iCs w:val="1"/>
          <w:color w:val="auto"/>
        </w:rPr>
        <w:t>Organized in three business segments — Subsea, Surface Technologies and Technip Energies — we are uniquely positioned to deliver greater efficiency across project lifecycles from concept to project delivery and beyond. Through innovative technologies and improved efficiencies, our offering unlocks new possibilities for our customers in developing their energy resources and in their positioning to meet the energy transition challenge.</w:t>
      </w:r>
    </w:p>
    <w:p>
      <w:pPr>
        <w:spacing w:after="0" w:line="210" w:lineRule="exact"/>
        <w:rPr>
          <w:sz w:val="20"/>
          <w:szCs w:val="20"/>
          <w:color w:val="auto"/>
        </w:rPr>
      </w:pPr>
    </w:p>
    <w:p>
      <w:pPr>
        <w:jc w:val="both"/>
        <w:spacing w:after="0" w:line="267" w:lineRule="auto"/>
        <w:rPr>
          <w:sz w:val="20"/>
          <w:szCs w:val="20"/>
          <w:color w:val="auto"/>
        </w:rPr>
      </w:pPr>
      <w:r>
        <w:rPr>
          <w:rFonts w:ascii="Arial" w:cs="Arial" w:eastAsia="Arial" w:hAnsi="Arial"/>
          <w:sz w:val="20"/>
          <w:szCs w:val="20"/>
          <w:i w:val="1"/>
          <w:iCs w:val="1"/>
          <w:color w:val="auto"/>
        </w:rPr>
        <w:t>Each of our approximately 37,000 employees is driven by a steady commitment to clients and a culture of project execution, purposeful innovation, challenging industry conventions, and rethinking how the best results are achieved.</w:t>
      </w:r>
    </w:p>
    <w:p>
      <w:pPr>
        <w:spacing w:after="0" w:line="186" w:lineRule="exact"/>
        <w:rPr>
          <w:sz w:val="20"/>
          <w:szCs w:val="20"/>
          <w:color w:val="auto"/>
        </w:rPr>
      </w:pPr>
    </w:p>
    <w:p>
      <w:pPr>
        <w:jc w:val="both"/>
        <w:spacing w:after="0" w:line="255" w:lineRule="auto"/>
        <w:rPr>
          <w:sz w:val="20"/>
          <w:szCs w:val="20"/>
          <w:color w:val="auto"/>
        </w:rPr>
      </w:pPr>
      <w:r>
        <w:rPr>
          <w:rFonts w:ascii="Arial" w:cs="Arial" w:eastAsia="Arial" w:hAnsi="Arial"/>
          <w:sz w:val="20"/>
          <w:szCs w:val="20"/>
          <w:b w:val="1"/>
          <w:bCs w:val="1"/>
          <w:i w:val="1"/>
          <w:iCs w:val="1"/>
          <w:color w:val="auto"/>
        </w:rPr>
        <w:t xml:space="preserve">TechnipFMC utilizes its website </w:t>
      </w:r>
      <w:r>
        <w:rPr>
          <w:rFonts w:ascii="Arial" w:cs="Arial" w:eastAsia="Arial" w:hAnsi="Arial"/>
          <w:sz w:val="20"/>
          <w:szCs w:val="20"/>
          <w:b w:val="1"/>
          <w:bCs w:val="1"/>
          <w:i w:val="1"/>
          <w:iCs w:val="1"/>
          <w:u w:val="single" w:color="auto"/>
          <w:color w:val="512D6D"/>
        </w:rPr>
        <w:t>www.TechnipFMC.com</w:t>
      </w:r>
      <w:r>
        <w:rPr>
          <w:rFonts w:ascii="Arial" w:cs="Arial" w:eastAsia="Arial" w:hAnsi="Arial"/>
          <w:sz w:val="20"/>
          <w:szCs w:val="20"/>
          <w:b w:val="1"/>
          <w:bCs w:val="1"/>
          <w:i w:val="1"/>
          <w:iCs w:val="1"/>
          <w:color w:val="auto"/>
        </w:rPr>
        <w:t xml:space="preserve"> as a channel of distribution of material company information. To learn more about us and how we are enhancing the performance of the world’s energy industry, go to </w:t>
      </w:r>
      <w:r>
        <w:rPr>
          <w:rFonts w:ascii="Arial" w:cs="Arial" w:eastAsia="Arial" w:hAnsi="Arial"/>
          <w:sz w:val="20"/>
          <w:szCs w:val="20"/>
          <w:b w:val="1"/>
          <w:bCs w:val="1"/>
          <w:i w:val="1"/>
          <w:iCs w:val="1"/>
          <w:u w:val="single" w:color="auto"/>
          <w:color w:val="512D6D"/>
        </w:rPr>
        <w:t>www.TechnipFMC.com</w:t>
      </w:r>
      <w:r>
        <w:rPr>
          <w:rFonts w:ascii="Arial" w:cs="Arial" w:eastAsia="Arial" w:hAnsi="Arial"/>
          <w:sz w:val="20"/>
          <w:szCs w:val="20"/>
          <w:b w:val="1"/>
          <w:bCs w:val="1"/>
          <w:i w:val="1"/>
          <w:iCs w:val="1"/>
          <w:color w:val="auto"/>
        </w:rPr>
        <w:t xml:space="preserve"> and follow us on Twitter @TechnipFMC.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1522095</wp:posOffset>
            </wp:positionH>
            <wp:positionV relativeFrom="paragraph">
              <wp:posOffset>-155575</wp:posOffset>
            </wp:positionV>
            <wp:extent cx="2408555" cy="1371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408555" cy="137160"/>
                    </a:xfrm>
                    <a:prstGeom prst="rect">
                      <a:avLst/>
                    </a:prstGeom>
                    <a:noFill/>
                  </pic:spPr>
                </pic:pic>
              </a:graphicData>
            </a:graphic>
          </wp:anchor>
        </w:drawing>
      </w:r>
    </w:p>
    <w:p>
      <w:pPr>
        <w:spacing w:after="0" w:line="200" w:lineRule="exact"/>
        <w:rPr>
          <w:sz w:val="20"/>
          <w:szCs w:val="20"/>
          <w:color w:val="auto"/>
        </w:rPr>
      </w:pPr>
    </w:p>
    <w:p>
      <w:pPr>
        <w:spacing w:after="0" w:line="259" w:lineRule="exact"/>
        <w:rPr>
          <w:sz w:val="20"/>
          <w:szCs w:val="20"/>
          <w:color w:val="auto"/>
        </w:rPr>
      </w:pPr>
    </w:p>
    <w:tbl>
      <w:tblPr>
        <w:tblLayout w:type="fixed"/>
        <w:tblInd w:w="20" w:type="dxa"/>
        <w:tblCellMar>
          <w:top w:w="0" w:type="dxa"/>
          <w:left w:w="0" w:type="dxa"/>
          <w:bottom w:w="0" w:type="dxa"/>
          <w:right w:w="0" w:type="dxa"/>
        </w:tblCellMar>
      </w:tblPr>
      <w:tr>
        <w:trPr>
          <w:trHeight w:val="237"/>
        </w:trPr>
        <w:tc>
          <w:tcPr>
            <w:tcW w:w="4300" w:type="dxa"/>
            <w:vAlign w:val="bottom"/>
            <w:gridSpan w:val="4"/>
            <w:vMerge w:val="restart"/>
          </w:tcPr>
          <w:p>
            <w:pPr>
              <w:spacing w:after="0"/>
              <w:rPr>
                <w:sz w:val="20"/>
                <w:szCs w:val="20"/>
                <w:color w:val="auto"/>
              </w:rPr>
            </w:pPr>
            <w:r>
              <w:rPr>
                <w:rFonts w:ascii="Arial" w:cs="Arial" w:eastAsia="Arial" w:hAnsi="Arial"/>
                <w:sz w:val="20"/>
                <w:szCs w:val="20"/>
                <w:color w:val="auto"/>
              </w:rPr>
              <w:t>Investor relations</w:t>
            </w:r>
          </w:p>
        </w:tc>
        <w:tc>
          <w:tcPr>
            <w:tcW w:w="5140" w:type="dxa"/>
            <w:vAlign w:val="bottom"/>
            <w:gridSpan w:val="4"/>
          </w:tcPr>
          <w:p>
            <w:pPr>
              <w:ind w:left="1140"/>
              <w:spacing w:after="0"/>
              <w:rPr>
                <w:sz w:val="20"/>
                <w:szCs w:val="20"/>
                <w:color w:val="auto"/>
              </w:rPr>
            </w:pPr>
            <w:r>
              <w:rPr>
                <w:rFonts w:ascii="Arial" w:cs="Arial" w:eastAsia="Arial" w:hAnsi="Arial"/>
                <w:sz w:val="20"/>
                <w:szCs w:val="20"/>
                <w:color w:val="auto"/>
              </w:rPr>
              <w:t>Media relations</w:t>
            </w:r>
          </w:p>
        </w:tc>
        <w:tc>
          <w:tcPr>
            <w:tcW w:w="0" w:type="dxa"/>
            <w:vAlign w:val="bottom"/>
          </w:tcPr>
          <w:p>
            <w:pPr>
              <w:spacing w:after="0"/>
              <w:rPr>
                <w:sz w:val="1"/>
                <w:szCs w:val="1"/>
                <w:color w:val="auto"/>
              </w:rPr>
            </w:pPr>
          </w:p>
        </w:tc>
      </w:tr>
      <w:tr>
        <w:trPr>
          <w:trHeight w:val="68"/>
        </w:trPr>
        <w:tc>
          <w:tcPr>
            <w:tcW w:w="4300" w:type="dxa"/>
            <w:vAlign w:val="bottom"/>
            <w:gridSpan w:val="4"/>
            <w:vMerge w:val="continue"/>
          </w:tcPr>
          <w:p>
            <w:pPr>
              <w:spacing w:after="0"/>
              <w:rPr>
                <w:sz w:val="5"/>
                <w:szCs w:val="5"/>
                <w:color w:val="auto"/>
              </w:rPr>
            </w:pPr>
          </w:p>
        </w:tc>
        <w:tc>
          <w:tcPr>
            <w:tcW w:w="1740" w:type="dxa"/>
            <w:vAlign w:val="bottom"/>
          </w:tcPr>
          <w:p>
            <w:pPr>
              <w:spacing w:after="0"/>
              <w:rPr>
                <w:sz w:val="5"/>
                <w:szCs w:val="5"/>
                <w:color w:val="auto"/>
              </w:rPr>
            </w:pPr>
          </w:p>
        </w:tc>
        <w:tc>
          <w:tcPr>
            <w:tcW w:w="1600" w:type="dxa"/>
            <w:vAlign w:val="bottom"/>
          </w:tcPr>
          <w:p>
            <w:pPr>
              <w:spacing w:after="0"/>
              <w:rPr>
                <w:sz w:val="5"/>
                <w:szCs w:val="5"/>
                <w:color w:val="auto"/>
              </w:rPr>
            </w:pPr>
          </w:p>
        </w:tc>
        <w:tc>
          <w:tcPr>
            <w:tcW w:w="260" w:type="dxa"/>
            <w:vAlign w:val="bottom"/>
          </w:tcPr>
          <w:p>
            <w:pPr>
              <w:spacing w:after="0"/>
              <w:rPr>
                <w:sz w:val="5"/>
                <w:szCs w:val="5"/>
                <w:color w:val="auto"/>
              </w:rPr>
            </w:pPr>
          </w:p>
        </w:tc>
        <w:tc>
          <w:tcPr>
            <w:tcW w:w="15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24"/>
        </w:trPr>
        <w:tc>
          <w:tcPr>
            <w:tcW w:w="4300" w:type="dxa"/>
            <w:vAlign w:val="bottom"/>
            <w:gridSpan w:val="4"/>
          </w:tcPr>
          <w:p>
            <w:pPr>
              <w:spacing w:after="0"/>
              <w:rPr>
                <w:sz w:val="20"/>
                <w:szCs w:val="20"/>
                <w:color w:val="auto"/>
              </w:rPr>
            </w:pPr>
            <w:r>
              <w:rPr>
                <w:rFonts w:ascii="Arial" w:cs="Arial" w:eastAsia="Arial" w:hAnsi="Arial"/>
                <w:sz w:val="20"/>
                <w:szCs w:val="20"/>
                <w:color w:val="auto"/>
              </w:rPr>
              <w:t>Matt Seinsheimer</w:t>
            </w:r>
          </w:p>
        </w:tc>
        <w:tc>
          <w:tcPr>
            <w:tcW w:w="5140" w:type="dxa"/>
            <w:vAlign w:val="bottom"/>
            <w:gridSpan w:val="4"/>
          </w:tcPr>
          <w:p>
            <w:pPr>
              <w:ind w:left="1140"/>
              <w:spacing w:after="0"/>
              <w:rPr>
                <w:sz w:val="20"/>
                <w:szCs w:val="20"/>
                <w:color w:val="auto"/>
              </w:rPr>
            </w:pPr>
            <w:r>
              <w:rPr>
                <w:rFonts w:ascii="Arial" w:cs="Arial" w:eastAsia="Arial" w:hAnsi="Arial"/>
                <w:sz w:val="20"/>
                <w:szCs w:val="20"/>
                <w:color w:val="auto"/>
              </w:rPr>
              <w:t>Christophe Bélorgeot</w:t>
            </w:r>
          </w:p>
        </w:tc>
        <w:tc>
          <w:tcPr>
            <w:tcW w:w="0" w:type="dxa"/>
            <w:vAlign w:val="bottom"/>
          </w:tcPr>
          <w:p>
            <w:pPr>
              <w:spacing w:after="0"/>
              <w:rPr>
                <w:sz w:val="1"/>
                <w:szCs w:val="1"/>
                <w:color w:val="auto"/>
              </w:rPr>
            </w:pPr>
          </w:p>
        </w:tc>
      </w:tr>
      <w:tr>
        <w:trPr>
          <w:trHeight w:val="276"/>
        </w:trPr>
        <w:tc>
          <w:tcPr>
            <w:tcW w:w="4300" w:type="dxa"/>
            <w:vAlign w:val="bottom"/>
            <w:gridSpan w:val="4"/>
          </w:tcPr>
          <w:p>
            <w:pPr>
              <w:spacing w:after="0"/>
              <w:rPr>
                <w:sz w:val="20"/>
                <w:szCs w:val="20"/>
                <w:color w:val="auto"/>
              </w:rPr>
            </w:pPr>
            <w:r>
              <w:rPr>
                <w:rFonts w:ascii="Arial" w:cs="Arial" w:eastAsia="Arial" w:hAnsi="Arial"/>
                <w:sz w:val="20"/>
                <w:szCs w:val="20"/>
                <w:color w:val="auto"/>
              </w:rPr>
              <w:t>Vice President Investor Relations</w:t>
            </w:r>
          </w:p>
        </w:tc>
        <w:tc>
          <w:tcPr>
            <w:tcW w:w="5140" w:type="dxa"/>
            <w:vAlign w:val="bottom"/>
            <w:gridSpan w:val="4"/>
          </w:tcPr>
          <w:p>
            <w:pPr>
              <w:ind w:left="1140"/>
              <w:spacing w:after="0"/>
              <w:rPr>
                <w:sz w:val="20"/>
                <w:szCs w:val="20"/>
                <w:color w:val="auto"/>
              </w:rPr>
            </w:pPr>
            <w:r>
              <w:rPr>
                <w:rFonts w:ascii="Arial" w:cs="Arial" w:eastAsia="Arial" w:hAnsi="Arial"/>
                <w:sz w:val="20"/>
                <w:szCs w:val="20"/>
                <w:color w:val="auto"/>
                <w:w w:val="98"/>
              </w:rPr>
              <w:t>Senior Vice President Corporate Engagement</w:t>
            </w:r>
          </w:p>
        </w:tc>
        <w:tc>
          <w:tcPr>
            <w:tcW w:w="0" w:type="dxa"/>
            <w:vAlign w:val="bottom"/>
          </w:tcPr>
          <w:p>
            <w:pPr>
              <w:spacing w:after="0"/>
              <w:rPr>
                <w:sz w:val="1"/>
                <w:szCs w:val="1"/>
                <w:color w:val="auto"/>
              </w:rPr>
            </w:pPr>
          </w:p>
        </w:tc>
      </w:tr>
      <w:tr>
        <w:trPr>
          <w:trHeight w:val="230"/>
        </w:trPr>
        <w:tc>
          <w:tcPr>
            <w:tcW w:w="4300" w:type="dxa"/>
            <w:vAlign w:val="bottom"/>
            <w:gridSpan w:val="4"/>
          </w:tcPr>
          <w:p>
            <w:pPr>
              <w:spacing w:after="0"/>
              <w:rPr>
                <w:sz w:val="20"/>
                <w:szCs w:val="20"/>
                <w:color w:val="auto"/>
              </w:rPr>
            </w:pPr>
            <w:r>
              <w:rPr>
                <w:rFonts w:ascii="Arial" w:cs="Arial" w:eastAsia="Arial" w:hAnsi="Arial"/>
                <w:sz w:val="20"/>
                <w:szCs w:val="20"/>
                <w:color w:val="auto"/>
              </w:rPr>
              <w:t>Tel: +1 281 260 3665</w:t>
            </w:r>
          </w:p>
        </w:tc>
        <w:tc>
          <w:tcPr>
            <w:tcW w:w="5140" w:type="dxa"/>
            <w:vAlign w:val="bottom"/>
            <w:gridSpan w:val="4"/>
          </w:tcPr>
          <w:p>
            <w:pPr>
              <w:ind w:left="1140"/>
              <w:spacing w:after="0"/>
              <w:rPr>
                <w:sz w:val="20"/>
                <w:szCs w:val="20"/>
                <w:color w:val="auto"/>
              </w:rPr>
            </w:pPr>
            <w:r>
              <w:rPr>
                <w:rFonts w:ascii="Arial" w:cs="Arial" w:eastAsia="Arial" w:hAnsi="Arial"/>
                <w:sz w:val="20"/>
                <w:szCs w:val="20"/>
                <w:color w:val="auto"/>
              </w:rPr>
              <w:t>Tel: +33 1 47 78 39 92</w:t>
            </w:r>
          </w:p>
        </w:tc>
        <w:tc>
          <w:tcPr>
            <w:tcW w:w="0" w:type="dxa"/>
            <w:vAlign w:val="bottom"/>
          </w:tcPr>
          <w:p>
            <w:pPr>
              <w:spacing w:after="0"/>
              <w:rPr>
                <w:sz w:val="1"/>
                <w:szCs w:val="1"/>
                <w:color w:val="auto"/>
              </w:rPr>
            </w:pPr>
          </w:p>
        </w:tc>
      </w:tr>
      <w:tr>
        <w:trPr>
          <w:trHeight w:val="193"/>
        </w:trPr>
        <w:tc>
          <w:tcPr>
            <w:tcW w:w="4300" w:type="dxa"/>
            <w:vAlign w:val="bottom"/>
            <w:gridSpan w:val="4"/>
            <w:vMerge w:val="restart"/>
          </w:tcPr>
          <w:p>
            <w:pPr>
              <w:spacing w:after="0"/>
              <w:rPr>
                <w:sz w:val="20"/>
                <w:szCs w:val="20"/>
                <w:color w:val="auto"/>
              </w:rPr>
            </w:pPr>
            <w:r>
              <w:rPr>
                <w:rFonts w:ascii="Arial" w:cs="Arial" w:eastAsia="Arial" w:hAnsi="Arial"/>
                <w:sz w:val="20"/>
                <w:szCs w:val="20"/>
                <w:color w:val="auto"/>
              </w:rPr>
              <w:t xml:space="preserve">Email: </w:t>
            </w:r>
            <w:r>
              <w:rPr>
                <w:rFonts w:ascii="Arial" w:cs="Arial" w:eastAsia="Arial" w:hAnsi="Arial"/>
                <w:sz w:val="20"/>
                <w:szCs w:val="20"/>
                <w:color w:val="0000FF"/>
              </w:rPr>
              <w:t>Matt Seinsheimer</w:t>
            </w:r>
          </w:p>
        </w:tc>
        <w:tc>
          <w:tcPr>
            <w:tcW w:w="1740" w:type="dxa"/>
            <w:vAlign w:val="bottom"/>
            <w:vMerge w:val="restart"/>
          </w:tcPr>
          <w:p>
            <w:pPr>
              <w:ind w:left="1140"/>
              <w:spacing w:after="0"/>
              <w:rPr>
                <w:sz w:val="20"/>
                <w:szCs w:val="20"/>
                <w:color w:val="auto"/>
              </w:rPr>
            </w:pPr>
            <w:r>
              <w:rPr>
                <w:rFonts w:ascii="Arial" w:cs="Arial" w:eastAsia="Arial" w:hAnsi="Arial"/>
                <w:sz w:val="20"/>
                <w:szCs w:val="20"/>
                <w:color w:val="auto"/>
              </w:rPr>
              <w:t>Email:</w:t>
            </w:r>
          </w:p>
        </w:tc>
        <w:tc>
          <w:tcPr>
            <w:tcW w:w="1860" w:type="dxa"/>
            <w:vAlign w:val="bottom"/>
            <w:tcBorders>
              <w:bottom w:val="single" w:sz="8" w:color="3333FF"/>
            </w:tcBorders>
            <w:gridSpan w:val="2"/>
          </w:tcPr>
          <w:p>
            <w:pPr>
              <w:spacing w:after="0" w:line="173" w:lineRule="exact"/>
              <w:rPr>
                <w:sz w:val="20"/>
                <w:szCs w:val="20"/>
                <w:color w:val="auto"/>
              </w:rPr>
            </w:pPr>
            <w:r>
              <w:rPr>
                <w:rFonts w:ascii="Arial" w:cs="Arial" w:eastAsia="Arial" w:hAnsi="Arial"/>
                <w:sz w:val="20"/>
                <w:szCs w:val="20"/>
                <w:color w:val="3333FF"/>
                <w:w w:val="97"/>
              </w:rPr>
              <w:t>Christophe Belorgeot</w:t>
            </w:r>
          </w:p>
        </w:tc>
        <w:tc>
          <w:tcPr>
            <w:tcW w:w="1540" w:type="dxa"/>
            <w:vAlign w:val="bottom"/>
            <w:vMerge w:val="restart"/>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4300" w:type="dxa"/>
            <w:vAlign w:val="bottom"/>
            <w:gridSpan w:val="4"/>
            <w:vMerge w:val="continue"/>
          </w:tcPr>
          <w:p>
            <w:pPr>
              <w:spacing w:after="0" w:line="20" w:lineRule="exact"/>
              <w:rPr>
                <w:sz w:val="1"/>
                <w:szCs w:val="1"/>
                <w:color w:val="auto"/>
              </w:rPr>
            </w:pPr>
          </w:p>
        </w:tc>
        <w:tc>
          <w:tcPr>
            <w:tcW w:w="1740" w:type="dxa"/>
            <w:vAlign w:val="bottom"/>
            <w:vMerge w:val="continue"/>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540" w:type="dxa"/>
            <w:vAlign w:val="bottom"/>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620" w:type="dxa"/>
            <w:vAlign w:val="bottom"/>
          </w:tcPr>
          <w:p>
            <w:pPr>
              <w:spacing w:after="0" w:line="20" w:lineRule="exact"/>
              <w:rPr>
                <w:sz w:val="1"/>
                <w:szCs w:val="1"/>
                <w:color w:val="auto"/>
              </w:rPr>
            </w:pPr>
          </w:p>
        </w:tc>
        <w:tc>
          <w:tcPr>
            <w:tcW w:w="126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5140" w:type="dxa"/>
            <w:vAlign w:val="bottom"/>
            <w:gridSpan w:val="4"/>
            <w:vMerge w:val="restart"/>
          </w:tcPr>
          <w:p>
            <w:pPr>
              <w:ind w:left="1140"/>
              <w:spacing w:after="0"/>
              <w:rPr>
                <w:sz w:val="20"/>
                <w:szCs w:val="20"/>
                <w:color w:val="auto"/>
              </w:rPr>
            </w:pPr>
            <w:r>
              <w:rPr>
                <w:rFonts w:ascii="Arial" w:cs="Arial" w:eastAsia="Arial" w:hAnsi="Arial"/>
                <w:sz w:val="20"/>
                <w:szCs w:val="20"/>
                <w:color w:val="auto"/>
              </w:rPr>
              <w:t>Brooke Robertson</w:t>
            </w:r>
          </w:p>
        </w:tc>
        <w:tc>
          <w:tcPr>
            <w:tcW w:w="0" w:type="dxa"/>
            <w:vAlign w:val="bottom"/>
          </w:tcPr>
          <w:p>
            <w:pPr>
              <w:spacing w:after="0" w:line="20" w:lineRule="exact"/>
              <w:rPr>
                <w:sz w:val="1"/>
                <w:szCs w:val="1"/>
                <w:color w:val="auto"/>
              </w:rPr>
            </w:pPr>
          </w:p>
        </w:tc>
      </w:tr>
      <w:tr>
        <w:trPr>
          <w:trHeight w:val="483"/>
        </w:trPr>
        <w:tc>
          <w:tcPr>
            <w:tcW w:w="4300" w:type="dxa"/>
            <w:vAlign w:val="bottom"/>
            <w:gridSpan w:val="4"/>
            <w:vMerge w:val="restart"/>
          </w:tcPr>
          <w:p>
            <w:pPr>
              <w:spacing w:after="0"/>
              <w:rPr>
                <w:sz w:val="20"/>
                <w:szCs w:val="20"/>
                <w:color w:val="auto"/>
              </w:rPr>
            </w:pPr>
            <w:r>
              <w:rPr>
                <w:rFonts w:ascii="Arial" w:cs="Arial" w:eastAsia="Arial" w:hAnsi="Arial"/>
                <w:sz w:val="20"/>
                <w:szCs w:val="20"/>
                <w:color w:val="auto"/>
              </w:rPr>
              <w:t>Phillip Lindsay</w:t>
            </w:r>
          </w:p>
        </w:tc>
        <w:tc>
          <w:tcPr>
            <w:tcW w:w="5140" w:type="dxa"/>
            <w:vAlign w:val="bottom"/>
            <w:gridSpan w:val="4"/>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4300" w:type="dxa"/>
            <w:vAlign w:val="bottom"/>
            <w:gridSpan w:val="4"/>
            <w:vMerge w:val="continue"/>
          </w:tcPr>
          <w:p>
            <w:pPr>
              <w:spacing w:after="0"/>
              <w:rPr>
                <w:sz w:val="9"/>
                <w:szCs w:val="9"/>
                <w:color w:val="auto"/>
              </w:rPr>
            </w:pPr>
          </w:p>
        </w:tc>
        <w:tc>
          <w:tcPr>
            <w:tcW w:w="5140" w:type="dxa"/>
            <w:vAlign w:val="bottom"/>
            <w:gridSpan w:val="4"/>
            <w:vMerge w:val="restart"/>
          </w:tcPr>
          <w:p>
            <w:pPr>
              <w:ind w:left="1140"/>
              <w:spacing w:after="0"/>
              <w:rPr>
                <w:sz w:val="20"/>
                <w:szCs w:val="20"/>
                <w:color w:val="auto"/>
              </w:rPr>
            </w:pPr>
            <w:r>
              <w:rPr>
                <w:rFonts w:ascii="Arial" w:cs="Arial" w:eastAsia="Arial" w:hAnsi="Arial"/>
                <w:sz w:val="20"/>
                <w:szCs w:val="20"/>
                <w:color w:val="auto"/>
              </w:rPr>
              <w:t>Public Relations Director</w:t>
            </w:r>
          </w:p>
        </w:tc>
        <w:tc>
          <w:tcPr>
            <w:tcW w:w="0" w:type="dxa"/>
            <w:vAlign w:val="bottom"/>
          </w:tcPr>
          <w:p>
            <w:pPr>
              <w:spacing w:after="0"/>
              <w:rPr>
                <w:sz w:val="1"/>
                <w:szCs w:val="1"/>
                <w:color w:val="auto"/>
              </w:rPr>
            </w:pPr>
          </w:p>
        </w:tc>
      </w:tr>
      <w:tr>
        <w:trPr>
          <w:trHeight w:val="230"/>
        </w:trPr>
        <w:tc>
          <w:tcPr>
            <w:tcW w:w="4300" w:type="dxa"/>
            <w:vAlign w:val="bottom"/>
            <w:gridSpan w:val="4"/>
            <w:vMerge w:val="restart"/>
          </w:tcPr>
          <w:p>
            <w:pPr>
              <w:spacing w:after="0"/>
              <w:rPr>
                <w:sz w:val="20"/>
                <w:szCs w:val="20"/>
                <w:color w:val="auto"/>
              </w:rPr>
            </w:pPr>
            <w:r>
              <w:rPr>
                <w:rFonts w:ascii="Arial" w:cs="Arial" w:eastAsia="Arial" w:hAnsi="Arial"/>
                <w:sz w:val="20"/>
                <w:szCs w:val="20"/>
                <w:color w:val="auto"/>
              </w:rPr>
              <w:t>Director Investor Relations (Europe)</w:t>
            </w:r>
          </w:p>
        </w:tc>
        <w:tc>
          <w:tcPr>
            <w:tcW w:w="5140" w:type="dxa"/>
            <w:vAlign w:val="bottom"/>
            <w:gridSpan w:val="4"/>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73"/>
        </w:trPr>
        <w:tc>
          <w:tcPr>
            <w:tcW w:w="4300" w:type="dxa"/>
            <w:vAlign w:val="bottom"/>
            <w:gridSpan w:val="4"/>
            <w:vMerge w:val="continue"/>
          </w:tcPr>
          <w:p>
            <w:pPr>
              <w:spacing w:after="0"/>
              <w:rPr>
                <w:sz w:val="6"/>
                <w:szCs w:val="6"/>
                <w:color w:val="auto"/>
              </w:rPr>
            </w:pPr>
          </w:p>
        </w:tc>
        <w:tc>
          <w:tcPr>
            <w:tcW w:w="5140" w:type="dxa"/>
            <w:vAlign w:val="bottom"/>
            <w:gridSpan w:val="4"/>
            <w:vMerge w:val="restart"/>
          </w:tcPr>
          <w:p>
            <w:pPr>
              <w:ind w:left="1140"/>
              <w:spacing w:after="0"/>
              <w:rPr>
                <w:sz w:val="20"/>
                <w:szCs w:val="20"/>
                <w:color w:val="auto"/>
              </w:rPr>
            </w:pPr>
            <w:r>
              <w:rPr>
                <w:rFonts w:ascii="Arial" w:cs="Arial" w:eastAsia="Arial" w:hAnsi="Arial"/>
                <w:sz w:val="20"/>
                <w:szCs w:val="20"/>
                <w:color w:val="auto"/>
              </w:rPr>
              <w:t>Tel: +1 281 591 4108</w:t>
            </w:r>
          </w:p>
        </w:tc>
        <w:tc>
          <w:tcPr>
            <w:tcW w:w="0" w:type="dxa"/>
            <w:vAlign w:val="bottom"/>
          </w:tcPr>
          <w:p>
            <w:pPr>
              <w:spacing w:after="0"/>
              <w:rPr>
                <w:sz w:val="1"/>
                <w:szCs w:val="1"/>
                <w:color w:val="auto"/>
              </w:rPr>
            </w:pPr>
          </w:p>
        </w:tc>
      </w:tr>
      <w:tr>
        <w:trPr>
          <w:trHeight w:val="203"/>
        </w:trPr>
        <w:tc>
          <w:tcPr>
            <w:tcW w:w="4300" w:type="dxa"/>
            <w:vAlign w:val="bottom"/>
            <w:gridSpan w:val="4"/>
          </w:tcPr>
          <w:p>
            <w:pPr>
              <w:spacing w:after="0" w:line="203" w:lineRule="exact"/>
              <w:rPr>
                <w:sz w:val="20"/>
                <w:szCs w:val="20"/>
                <w:color w:val="auto"/>
              </w:rPr>
            </w:pPr>
            <w:r>
              <w:rPr>
                <w:rFonts w:ascii="Arial" w:cs="Arial" w:eastAsia="Arial" w:hAnsi="Arial"/>
                <w:sz w:val="20"/>
                <w:szCs w:val="20"/>
                <w:color w:val="auto"/>
              </w:rPr>
              <w:t>Tel: +44 (0) 20 3429 3929</w:t>
            </w:r>
          </w:p>
        </w:tc>
        <w:tc>
          <w:tcPr>
            <w:tcW w:w="5140" w:type="dxa"/>
            <w:vAlign w:val="bottom"/>
            <w:gridSpan w:val="4"/>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4300" w:type="dxa"/>
            <w:vAlign w:val="bottom"/>
            <w:gridSpan w:val="4"/>
            <w:vMerge w:val="restart"/>
          </w:tcPr>
          <w:p>
            <w:pPr>
              <w:spacing w:after="0"/>
              <w:rPr>
                <w:sz w:val="20"/>
                <w:szCs w:val="20"/>
                <w:color w:val="auto"/>
              </w:rPr>
            </w:pPr>
            <w:r>
              <w:rPr>
                <w:rFonts w:ascii="Arial" w:cs="Arial" w:eastAsia="Arial" w:hAnsi="Arial"/>
                <w:sz w:val="20"/>
                <w:szCs w:val="20"/>
                <w:color w:val="auto"/>
              </w:rPr>
              <w:t xml:space="preserve">Email: </w:t>
            </w:r>
            <w:r>
              <w:rPr>
                <w:rFonts w:ascii="Arial" w:cs="Arial" w:eastAsia="Arial" w:hAnsi="Arial"/>
                <w:sz w:val="20"/>
                <w:szCs w:val="20"/>
                <w:color w:val="0000FF"/>
              </w:rPr>
              <w:t>Phillip Lindsay</w:t>
            </w:r>
          </w:p>
        </w:tc>
        <w:tc>
          <w:tcPr>
            <w:tcW w:w="1740" w:type="dxa"/>
            <w:vAlign w:val="bottom"/>
            <w:vMerge w:val="restart"/>
          </w:tcPr>
          <w:p>
            <w:pPr>
              <w:ind w:left="1140"/>
              <w:spacing w:after="0"/>
              <w:rPr>
                <w:sz w:val="20"/>
                <w:szCs w:val="20"/>
                <w:color w:val="auto"/>
              </w:rPr>
            </w:pPr>
            <w:r>
              <w:rPr>
                <w:rFonts w:ascii="Arial" w:cs="Arial" w:eastAsia="Arial" w:hAnsi="Arial"/>
                <w:sz w:val="20"/>
                <w:szCs w:val="20"/>
                <w:color w:val="auto"/>
              </w:rPr>
              <w:t>Email:</w:t>
            </w:r>
          </w:p>
        </w:tc>
        <w:tc>
          <w:tcPr>
            <w:tcW w:w="1600" w:type="dxa"/>
            <w:vAlign w:val="bottom"/>
            <w:tcBorders>
              <w:bottom w:val="single" w:sz="8" w:color="0000FF"/>
            </w:tcBorders>
          </w:tcPr>
          <w:p>
            <w:pPr>
              <w:spacing w:after="0" w:line="173" w:lineRule="exact"/>
              <w:rPr>
                <w:sz w:val="20"/>
                <w:szCs w:val="20"/>
                <w:color w:val="auto"/>
              </w:rPr>
            </w:pPr>
            <w:r>
              <w:rPr>
                <w:rFonts w:ascii="Arial" w:cs="Arial" w:eastAsia="Arial" w:hAnsi="Arial"/>
                <w:sz w:val="20"/>
                <w:szCs w:val="20"/>
                <w:color w:val="0000FF"/>
                <w:w w:val="97"/>
              </w:rPr>
              <w:t>Brooke Robertson</w:t>
            </w:r>
          </w:p>
        </w:tc>
        <w:tc>
          <w:tcPr>
            <w:tcW w:w="1800" w:type="dxa"/>
            <w:vAlign w:val="bottom"/>
            <w:gridSpan w:val="2"/>
            <w:vMerge w:val="restart"/>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4300" w:type="dxa"/>
            <w:vAlign w:val="bottom"/>
            <w:gridSpan w:val="4"/>
            <w:vMerge w:val="continue"/>
          </w:tcPr>
          <w:p>
            <w:pPr>
              <w:spacing w:after="0" w:line="20" w:lineRule="exact"/>
              <w:rPr>
                <w:sz w:val="1"/>
                <w:szCs w:val="1"/>
                <w:color w:val="auto"/>
              </w:rPr>
            </w:pPr>
          </w:p>
        </w:tc>
        <w:tc>
          <w:tcPr>
            <w:tcW w:w="1740" w:type="dxa"/>
            <w:vAlign w:val="bottom"/>
            <w:vMerge w:val="continue"/>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800" w:type="dxa"/>
            <w:vAlign w:val="bottom"/>
            <w:gridSpan w:val="2"/>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620" w:type="dxa"/>
            <w:vAlign w:val="bottom"/>
          </w:tcPr>
          <w:p>
            <w:pPr>
              <w:spacing w:after="0" w:line="20" w:lineRule="exact"/>
              <w:rPr>
                <w:sz w:val="1"/>
                <w:szCs w:val="1"/>
                <w:color w:val="auto"/>
              </w:rPr>
            </w:pPr>
          </w:p>
        </w:tc>
        <w:tc>
          <w:tcPr>
            <w:tcW w:w="1260" w:type="dxa"/>
            <w:vAlign w:val="bottom"/>
            <w:shd w:val="clear" w:color="auto" w:fill="0000FF"/>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xml:space="preserve">Page </w:t>
      </w:r>
      <w:r>
        <w:rPr>
          <w:rFonts w:ascii="Arial" w:cs="Arial" w:eastAsia="Arial" w:hAnsi="Arial"/>
          <w:sz w:val="20"/>
          <w:szCs w:val="20"/>
          <w:b w:val="1"/>
          <w:bCs w:val="1"/>
          <w:color w:val="auto"/>
        </w:rPr>
        <w:t>2</w:t>
      </w:r>
      <w:r>
        <w:rPr>
          <w:rFonts w:ascii="Arial" w:cs="Arial" w:eastAsia="Arial" w:hAnsi="Arial"/>
          <w:sz w:val="20"/>
          <w:szCs w:val="20"/>
          <w:color w:val="auto"/>
        </w:rPr>
        <w:t xml:space="preserve"> of </w:t>
      </w:r>
      <w:r>
        <w:rPr>
          <w:rFonts w:ascii="Arial" w:cs="Arial" w:eastAsia="Arial" w:hAnsi="Arial"/>
          <w:sz w:val="20"/>
          <w:szCs w:val="20"/>
          <w:b w:val="1"/>
          <w:bCs w:val="1"/>
          <w:color w:val="auto"/>
        </w:rPr>
        <w:t>2</w:t>
      </w:r>
    </w:p>
    <w:sectPr>
      <w:pgSz w:w="11900" w:h="16838" w:orient="portrait"/>
      <w:cols w:equalWidth="0" w:num="1">
        <w:col w:w="11240"/>
      </w:cols>
      <w:pgMar w:left="320" w:top="14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lowerLetter"/>
      <w:start w:val="4"/>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2020-10-01T15:31:04Z</dcterms:created>
  <dcterms:modified xsi:type="dcterms:W3CDTF">2020-10-01T15:31:04Z</dcterms:modified>
</cp:coreProperties>
</file>