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0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350520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50" w:lineRule="exact"/>
        <w:rPr>
          <w:sz w:val="24"/>
          <w:szCs w:val="24"/>
          <w:color w:val="auto"/>
        </w:rPr>
      </w:pPr>
    </w:p>
    <w:p>
      <w:pPr>
        <w:jc w:val="center"/>
        <w:ind w:right="-1200"/>
        <w:spacing w:after="0"/>
        <w:rPr>
          <w:sz w:val="20"/>
          <w:szCs w:val="20"/>
          <w:color w:val="auto"/>
        </w:rPr>
      </w:pPr>
      <w:r>
        <w:rPr>
          <w:rFonts w:ascii="Arial" w:cs="Arial" w:eastAsia="Arial" w:hAnsi="Arial"/>
          <w:sz w:val="32"/>
          <w:szCs w:val="32"/>
          <w:b w:val="1"/>
          <w:bCs w:val="1"/>
          <w:color w:val="auto"/>
        </w:rPr>
        <w:t>SECURITIES AND EXCHANGE COMMISSION</w:t>
      </w:r>
    </w:p>
    <w:p>
      <w:pPr>
        <w:spacing w:after="0" w:line="13" w:lineRule="exact"/>
        <w:rPr>
          <w:sz w:val="24"/>
          <w:szCs w:val="24"/>
          <w:color w:val="auto"/>
        </w:rPr>
      </w:pPr>
    </w:p>
    <w:p>
      <w:pPr>
        <w:ind w:left="4460"/>
        <w:spacing w:after="0"/>
        <w:rPr>
          <w:sz w:val="20"/>
          <w:szCs w:val="20"/>
          <w:color w:val="auto"/>
        </w:rPr>
      </w:pPr>
      <w:r>
        <w:rPr>
          <w:rFonts w:ascii="Arial" w:cs="Arial" w:eastAsia="Arial" w:hAnsi="Arial"/>
          <w:sz w:val="22"/>
          <w:szCs w:val="22"/>
          <w:b w:val="1"/>
          <w:bCs w:val="1"/>
          <w:color w:val="auto"/>
        </w:rPr>
        <w:t>Washington, D. C. 20549</w:t>
      </w:r>
    </w:p>
    <w:p>
      <w:pPr>
        <w:spacing w:after="0" w:line="200" w:lineRule="exact"/>
        <w:rPr>
          <w:sz w:val="24"/>
          <w:szCs w:val="24"/>
          <w:color w:val="auto"/>
        </w:rPr>
      </w:pPr>
    </w:p>
    <w:p>
      <w:pPr>
        <w:spacing w:after="0" w:line="260" w:lineRule="exact"/>
        <w:rPr>
          <w:sz w:val="24"/>
          <w:szCs w:val="24"/>
          <w:color w:val="auto"/>
        </w:rPr>
      </w:pPr>
    </w:p>
    <w:p>
      <w:pPr>
        <w:ind w:left="4840"/>
        <w:spacing w:after="0"/>
        <w:rPr>
          <w:sz w:val="20"/>
          <w:szCs w:val="20"/>
          <w:color w:val="auto"/>
        </w:rPr>
      </w:pPr>
      <w:r>
        <w:rPr>
          <w:rFonts w:ascii="Arial" w:cs="Arial" w:eastAsia="Arial" w:hAnsi="Arial"/>
          <w:sz w:val="32"/>
          <w:szCs w:val="32"/>
          <w:b w:val="1"/>
          <w:bCs w:val="1"/>
          <w:color w:val="auto"/>
        </w:rPr>
        <w:t>FORM 11-K</w:t>
      </w:r>
    </w:p>
    <w:p>
      <w:pPr>
        <w:spacing w:after="0" w:line="200" w:lineRule="exact"/>
        <w:rPr>
          <w:sz w:val="24"/>
          <w:szCs w:val="24"/>
          <w:color w:val="auto"/>
        </w:rPr>
      </w:pPr>
    </w:p>
    <w:p>
      <w:pPr>
        <w:spacing w:after="0" w:line="200" w:lineRule="exact"/>
        <w:rPr>
          <w:sz w:val="24"/>
          <w:szCs w:val="24"/>
          <w:color w:val="auto"/>
        </w:rPr>
      </w:pPr>
    </w:p>
    <w:p>
      <w:pPr>
        <w:spacing w:after="0" w:line="316" w:lineRule="exact"/>
        <w:rPr>
          <w:sz w:val="24"/>
          <w:szCs w:val="24"/>
          <w:color w:val="auto"/>
        </w:rPr>
      </w:pPr>
    </w:p>
    <w:p>
      <w:pPr>
        <w:ind w:left="1720" w:right="1199" w:hanging="517"/>
        <w:spacing w:after="0" w:line="261" w:lineRule="auto"/>
        <w:tabs>
          <w:tab w:leader="none" w:pos="1720" w:val="left"/>
        </w:tabs>
        <w:numPr>
          <w:ilvl w:val="0"/>
          <w:numId w:val="1"/>
        </w:numPr>
        <w:rPr>
          <w:rFonts w:ascii="MS PGothic" w:cs="MS PGothic" w:eastAsia="MS PGothic" w:hAnsi="MS PGothic"/>
          <w:sz w:val="22"/>
          <w:szCs w:val="22"/>
          <w:color w:val="auto"/>
        </w:rPr>
      </w:pPr>
      <w:r>
        <w:rPr>
          <w:rFonts w:ascii="Arial" w:cs="Arial" w:eastAsia="Arial" w:hAnsi="Arial"/>
          <w:sz w:val="22"/>
          <w:szCs w:val="22"/>
          <w:b w:val="1"/>
          <w:bCs w:val="1"/>
          <w:color w:val="auto"/>
        </w:rPr>
        <w:t>ANNUAL REPORT PURSUANT TO SECTION 15(d) OF THE SECURITIES EXCHANGE ACT OF 1934</w:t>
      </w:r>
    </w:p>
    <w:p>
      <w:pPr>
        <w:spacing w:after="0" w:line="148"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For the fiscal year ended December 31, 2018</w:t>
      </w:r>
    </w:p>
    <w:p>
      <w:pPr>
        <w:spacing w:after="0" w:line="171"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OR</w:t>
      </w:r>
    </w:p>
    <w:p>
      <w:pPr>
        <w:spacing w:after="0" w:line="324" w:lineRule="exact"/>
        <w:rPr>
          <w:sz w:val="24"/>
          <w:szCs w:val="24"/>
          <w:color w:val="auto"/>
        </w:rPr>
      </w:pPr>
    </w:p>
    <w:p>
      <w:pPr>
        <w:ind w:left="1720" w:right="799" w:hanging="517"/>
        <w:spacing w:after="0" w:line="261" w:lineRule="auto"/>
        <w:tabs>
          <w:tab w:leader="none" w:pos="1720" w:val="left"/>
        </w:tabs>
        <w:numPr>
          <w:ilvl w:val="0"/>
          <w:numId w:val="2"/>
        </w:numPr>
        <w:rPr>
          <w:rFonts w:ascii="MS PGothic" w:cs="MS PGothic" w:eastAsia="MS PGothic" w:hAnsi="MS PGothic"/>
          <w:sz w:val="22"/>
          <w:szCs w:val="22"/>
          <w:color w:val="auto"/>
        </w:rPr>
      </w:pPr>
      <w:r>
        <w:rPr>
          <w:rFonts w:ascii="Arial" w:cs="Arial" w:eastAsia="Arial" w:hAnsi="Arial"/>
          <w:sz w:val="22"/>
          <w:szCs w:val="22"/>
          <w:b w:val="1"/>
          <w:bCs w:val="1"/>
          <w:color w:val="auto"/>
        </w:rPr>
        <w:t>TRANSITION REPORT PURSUANT TO SECTION 15(d) OF THE SECURITIES EXCHANGE ACT OF 1934</w:t>
      </w:r>
    </w:p>
    <w:p>
      <w:pPr>
        <w:spacing w:after="0" w:line="135" w:lineRule="exact"/>
        <w:rPr>
          <w:sz w:val="24"/>
          <w:szCs w:val="24"/>
          <w:color w:val="auto"/>
        </w:rPr>
      </w:pPr>
    </w:p>
    <w:p>
      <w:pPr>
        <w:ind w:left="3680"/>
        <w:spacing w:after="0"/>
        <w:tabs>
          <w:tab w:leader="none" w:pos="69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3980815</wp:posOffset>
            </wp:positionH>
            <wp:positionV relativeFrom="paragraph">
              <wp:posOffset>-5080</wp:posOffset>
            </wp:positionV>
            <wp:extent cx="9334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33450" cy="8890"/>
                    </a:xfrm>
                    <a:prstGeom prst="rect">
                      <a:avLst/>
                    </a:prstGeom>
                    <a:noFill/>
                  </pic:spPr>
                </pic:pic>
              </a:graphicData>
            </a:graphic>
          </wp:anchor>
        </w:drawing>
      </w:r>
    </w:p>
    <w:p>
      <w:pPr>
        <w:spacing w:after="0" w:line="151" w:lineRule="exact"/>
        <w:rPr>
          <w:sz w:val="24"/>
          <w:szCs w:val="24"/>
          <w:color w:val="auto"/>
        </w:rPr>
      </w:pPr>
    </w:p>
    <w:p>
      <w:pPr>
        <w:ind w:left="4200"/>
        <w:spacing w:after="0"/>
        <w:rPr>
          <w:sz w:val="20"/>
          <w:szCs w:val="20"/>
          <w:color w:val="auto"/>
        </w:rPr>
      </w:pPr>
      <w:r>
        <w:rPr>
          <w:rFonts w:ascii="Arial" w:cs="Arial" w:eastAsia="Arial" w:hAnsi="Arial"/>
          <w:sz w:val="18"/>
          <w:szCs w:val="18"/>
          <w:b w:val="1"/>
          <w:bCs w:val="1"/>
          <w:color w:val="auto"/>
        </w:rPr>
        <w:t>Commission file number 001-37983</w:t>
      </w:r>
    </w:p>
    <w:p>
      <w:pPr>
        <w:spacing w:after="0" w:line="396" w:lineRule="exact"/>
        <w:rPr>
          <w:sz w:val="24"/>
          <w:szCs w:val="24"/>
          <w:color w:val="auto"/>
        </w:rPr>
      </w:pPr>
    </w:p>
    <w:p>
      <w:pPr>
        <w:spacing w:after="0"/>
        <w:rPr>
          <w:sz w:val="20"/>
          <w:szCs w:val="20"/>
          <w:color w:val="auto"/>
        </w:rPr>
      </w:pPr>
      <w:r>
        <w:rPr>
          <w:rFonts w:ascii="Arial" w:cs="Arial" w:eastAsia="Arial" w:hAnsi="Arial"/>
          <w:sz w:val="18"/>
          <w:szCs w:val="18"/>
          <w:color w:val="auto"/>
        </w:rPr>
        <w:t>A. Full title of the plan and the address of the plan, if different from that of the issuer named below:</w:t>
      </w:r>
    </w:p>
    <w:p>
      <w:pPr>
        <w:spacing w:after="0" w:line="200" w:lineRule="exact"/>
        <w:rPr>
          <w:sz w:val="24"/>
          <w:szCs w:val="24"/>
          <w:color w:val="auto"/>
        </w:rPr>
      </w:pPr>
    </w:p>
    <w:p>
      <w:pPr>
        <w:spacing w:after="0" w:line="237" w:lineRule="exact"/>
        <w:rPr>
          <w:sz w:val="24"/>
          <w:szCs w:val="24"/>
          <w:color w:val="auto"/>
        </w:rPr>
      </w:pPr>
    </w:p>
    <w:p>
      <w:pPr>
        <w:jc w:val="center"/>
        <w:ind w:right="-1200"/>
        <w:spacing w:after="0"/>
        <w:rPr>
          <w:sz w:val="20"/>
          <w:szCs w:val="20"/>
          <w:color w:val="auto"/>
        </w:rPr>
      </w:pPr>
      <w:r>
        <w:rPr>
          <w:rFonts w:ascii="Arial" w:cs="Arial" w:eastAsia="Arial" w:hAnsi="Arial"/>
          <w:sz w:val="22"/>
          <w:szCs w:val="22"/>
          <w:b w:val="1"/>
          <w:bCs w:val="1"/>
          <w:color w:val="auto"/>
        </w:rPr>
        <w:t>TechnipFMC Retirement Savings Plan</w:t>
      </w:r>
    </w:p>
    <w:p>
      <w:pPr>
        <w:spacing w:after="0" w:line="30" w:lineRule="exact"/>
        <w:rPr>
          <w:sz w:val="24"/>
          <w:szCs w:val="24"/>
          <w:color w:val="auto"/>
        </w:rPr>
      </w:pPr>
    </w:p>
    <w:p>
      <w:pPr>
        <w:jc w:val="center"/>
        <w:ind w:right="-1200"/>
        <w:spacing w:after="0"/>
        <w:rPr>
          <w:sz w:val="20"/>
          <w:szCs w:val="20"/>
          <w:color w:val="auto"/>
        </w:rPr>
      </w:pPr>
      <w:r>
        <w:rPr>
          <w:rFonts w:ascii="Arial" w:cs="Arial" w:eastAsia="Arial" w:hAnsi="Arial"/>
          <w:sz w:val="22"/>
          <w:szCs w:val="22"/>
          <w:b w:val="1"/>
          <w:bCs w:val="1"/>
          <w:color w:val="auto"/>
        </w:rPr>
        <w:t>11740 Katy Freeway, Houston, Texas 77079</w:t>
      </w:r>
    </w:p>
    <w:p>
      <w:pPr>
        <w:spacing w:after="0" w:line="200" w:lineRule="exact"/>
        <w:rPr>
          <w:sz w:val="24"/>
          <w:szCs w:val="24"/>
          <w:color w:val="auto"/>
        </w:rPr>
      </w:pPr>
    </w:p>
    <w:p>
      <w:pPr>
        <w:spacing w:after="0" w:line="228" w:lineRule="exact"/>
        <w:rPr>
          <w:sz w:val="24"/>
          <w:szCs w:val="24"/>
          <w:color w:val="auto"/>
        </w:rPr>
      </w:pPr>
    </w:p>
    <w:p>
      <w:pPr>
        <w:spacing w:after="0"/>
        <w:rPr>
          <w:sz w:val="20"/>
          <w:szCs w:val="20"/>
          <w:color w:val="auto"/>
        </w:rPr>
      </w:pPr>
      <w:r>
        <w:rPr>
          <w:rFonts w:ascii="Arial" w:cs="Arial" w:eastAsia="Arial" w:hAnsi="Arial"/>
          <w:sz w:val="18"/>
          <w:szCs w:val="18"/>
          <w:color w:val="auto"/>
        </w:rPr>
        <w:t>B. Name of issuer of the securities held pursuant to the plan and the address of its principal executive office:</w:t>
      </w:r>
    </w:p>
    <w:p>
      <w:pPr>
        <w:spacing w:after="0" w:line="200" w:lineRule="exact"/>
        <w:rPr>
          <w:sz w:val="24"/>
          <w:szCs w:val="24"/>
          <w:color w:val="auto"/>
        </w:rPr>
      </w:pPr>
    </w:p>
    <w:p>
      <w:pPr>
        <w:spacing w:after="0" w:line="264" w:lineRule="exact"/>
        <w:rPr>
          <w:sz w:val="24"/>
          <w:szCs w:val="24"/>
          <w:color w:val="auto"/>
        </w:rPr>
      </w:pPr>
    </w:p>
    <w:p>
      <w:pPr>
        <w:jc w:val="center"/>
        <w:ind w:right="-1200"/>
        <w:spacing w:after="0"/>
        <w:rPr>
          <w:sz w:val="20"/>
          <w:szCs w:val="20"/>
          <w:color w:val="auto"/>
        </w:rPr>
      </w:pPr>
      <w:r>
        <w:rPr>
          <w:rFonts w:ascii="Arial" w:cs="Arial" w:eastAsia="Arial" w:hAnsi="Arial"/>
          <w:sz w:val="22"/>
          <w:szCs w:val="22"/>
          <w:b w:val="1"/>
          <w:bCs w:val="1"/>
          <w:color w:val="auto"/>
        </w:rPr>
        <w:t>TechnipFMC plc</w:t>
      </w:r>
    </w:p>
    <w:p>
      <w:pPr>
        <w:spacing w:after="0" w:line="30" w:lineRule="exact"/>
        <w:rPr>
          <w:sz w:val="24"/>
          <w:szCs w:val="24"/>
          <w:color w:val="auto"/>
        </w:rPr>
      </w:pPr>
    </w:p>
    <w:p>
      <w:pPr>
        <w:jc w:val="center"/>
        <w:ind w:right="-1200"/>
        <w:spacing w:after="0"/>
        <w:rPr>
          <w:sz w:val="20"/>
          <w:szCs w:val="20"/>
          <w:color w:val="auto"/>
        </w:rPr>
      </w:pPr>
      <w:r>
        <w:rPr>
          <w:rFonts w:ascii="Arial" w:cs="Arial" w:eastAsia="Arial" w:hAnsi="Arial"/>
          <w:sz w:val="22"/>
          <w:szCs w:val="22"/>
          <w:b w:val="1"/>
          <w:bCs w:val="1"/>
          <w:color w:val="auto"/>
        </w:rPr>
        <w:t>One St. Paul’s Churchyard, London, EC4M 8AP, United Kingdom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156845</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0219"/>
          </w:cols>
          <w:pgMar w:left="240" w:top="860" w:right="1440"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0031FF"/>
        </w:rPr>
        <w:t>Table of Contents</w:t>
      </w:r>
    </w:p>
    <w:p>
      <w:pPr>
        <w:spacing w:after="0" w:line="251"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TECHNIPFMC RETIREMENT SAVINGS PLAN</w:t>
      </w:r>
    </w:p>
    <w:p>
      <w:pPr>
        <w:spacing w:after="0" w:line="171"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Page</w:t>
      </w:r>
    </w:p>
    <w:p>
      <w:pPr>
        <w:spacing w:after="0" w:line="122"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4600" w:type="dxa"/>
            <w:vAlign w:val="bottom"/>
            <w:tcBorders>
              <w:bottom w:val="single" w:sz="8" w:color="0000EE"/>
            </w:tcBorders>
            <w:gridSpan w:val="6"/>
          </w:tcPr>
          <w:p>
            <w:pPr>
              <w:spacing w:after="0"/>
              <w:rPr>
                <w:rFonts w:ascii="Arial" w:cs="Arial" w:eastAsia="Arial" w:hAnsi="Arial"/>
                <w:sz w:val="18"/>
                <w:szCs w:val="18"/>
                <w:color w:val="0000EE"/>
                <w:w w:val="99"/>
              </w:rPr>
            </w:pPr>
            <w:hyperlink w:anchor="page3">
              <w:r>
                <w:rPr>
                  <w:rFonts w:ascii="Arial" w:cs="Arial" w:eastAsia="Arial" w:hAnsi="Arial"/>
                  <w:sz w:val="18"/>
                  <w:szCs w:val="18"/>
                  <w:color w:val="0000EE"/>
                  <w:w w:val="99"/>
                </w:rPr>
                <w:t>Report of Independent Registered Public Accounting Firm</w:t>
              </w:r>
            </w:hyperlink>
          </w:p>
        </w:tc>
        <w:tc>
          <w:tcPr>
            <w:tcW w:w="6340" w:type="dxa"/>
            <w:vAlign w:val="bottom"/>
            <w:gridSpan w:val="4"/>
          </w:tcPr>
          <w:p>
            <w:pPr>
              <w:spacing w:after="0"/>
              <w:rPr>
                <w:sz w:val="17"/>
                <w:szCs w:val="17"/>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3">
              <w:r>
                <w:rPr>
                  <w:rFonts w:ascii="Arial" w:cs="Arial" w:eastAsia="Arial" w:hAnsi="Arial"/>
                  <w:sz w:val="18"/>
                  <w:szCs w:val="18"/>
                  <w:color w:val="0000EE"/>
                  <w:w w:val="99"/>
                </w:rPr>
                <w:t>3</w:t>
              </w:r>
            </w:hyperlink>
          </w:p>
        </w:tc>
        <w:tc>
          <w:tcPr>
            <w:tcW w:w="0" w:type="dxa"/>
            <w:vAlign w:val="bottom"/>
          </w:tcPr>
          <w:p>
            <w:pPr>
              <w:spacing w:after="0"/>
              <w:rPr>
                <w:sz w:val="1"/>
                <w:szCs w:val="1"/>
                <w:color w:val="auto"/>
              </w:rPr>
            </w:pPr>
          </w:p>
        </w:tc>
      </w:tr>
      <w:tr>
        <w:trPr>
          <w:trHeight w:val="48"/>
        </w:trPr>
        <w:tc>
          <w:tcPr>
            <w:tcW w:w="10940" w:type="dxa"/>
            <w:vAlign w:val="bottom"/>
            <w:gridSpan w:val="10"/>
            <w:vMerge w:val="restart"/>
          </w:tcPr>
          <w:p>
            <w:pPr>
              <w:spacing w:after="0"/>
              <w:rPr>
                <w:sz w:val="20"/>
                <w:szCs w:val="20"/>
                <w:color w:val="auto"/>
              </w:rPr>
            </w:pPr>
            <w:r>
              <w:rPr>
                <w:rFonts w:ascii="Arial" w:cs="Arial" w:eastAsia="Arial" w:hAnsi="Arial"/>
                <w:sz w:val="18"/>
                <w:szCs w:val="18"/>
                <w:color w:val="auto"/>
              </w:rPr>
              <w:t>Financial Statements:</w:t>
            </w:r>
          </w:p>
        </w:tc>
        <w:tc>
          <w:tcPr>
            <w:tcW w:w="2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5"/>
        </w:trPr>
        <w:tc>
          <w:tcPr>
            <w:tcW w:w="10940" w:type="dxa"/>
            <w:vAlign w:val="bottom"/>
            <w:gridSpan w:val="10"/>
            <w:vMerge w:val="continue"/>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40" w:type="dxa"/>
            <w:vAlign w:val="bottom"/>
          </w:tcPr>
          <w:p>
            <w:pPr>
              <w:spacing w:after="0"/>
              <w:rPr>
                <w:sz w:val="24"/>
                <w:szCs w:val="24"/>
                <w:color w:val="auto"/>
              </w:rPr>
            </w:pPr>
          </w:p>
        </w:tc>
        <w:tc>
          <w:tcPr>
            <w:tcW w:w="3780" w:type="dxa"/>
            <w:vAlign w:val="bottom"/>
            <w:tcBorders>
              <w:bottom w:val="single" w:sz="8" w:color="0000EE"/>
            </w:tcBorders>
            <w:gridSpan w:val="4"/>
          </w:tcPr>
          <w:p>
            <w:pPr>
              <w:spacing w:after="0"/>
              <w:rPr>
                <w:rFonts w:ascii="Arial" w:cs="Arial" w:eastAsia="Arial" w:hAnsi="Arial"/>
                <w:sz w:val="18"/>
                <w:szCs w:val="18"/>
                <w:color w:val="0000EE"/>
                <w:w w:val="99"/>
              </w:rPr>
            </w:pPr>
            <w:hyperlink w:anchor="page4">
              <w:r>
                <w:rPr>
                  <w:rFonts w:ascii="Arial" w:cs="Arial" w:eastAsia="Arial" w:hAnsi="Arial"/>
                  <w:sz w:val="18"/>
                  <w:szCs w:val="18"/>
                  <w:color w:val="0000EE"/>
                  <w:w w:val="99"/>
                </w:rPr>
                <w:t>Statements of Net Assets Available for Benefits</w:t>
              </w:r>
            </w:hyperlink>
          </w:p>
        </w:tc>
        <w:tc>
          <w:tcPr>
            <w:tcW w:w="6820" w:type="dxa"/>
            <w:vAlign w:val="bottom"/>
            <w:gridSpan w:val="5"/>
          </w:tcPr>
          <w:p>
            <w:pPr>
              <w:spacing w:after="0"/>
              <w:rPr>
                <w:sz w:val="24"/>
                <w:szCs w:val="24"/>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4">
              <w:r>
                <w:rPr>
                  <w:rFonts w:ascii="Arial" w:cs="Arial" w:eastAsia="Arial" w:hAnsi="Arial"/>
                  <w:sz w:val="18"/>
                  <w:szCs w:val="18"/>
                  <w:color w:val="0000EE"/>
                  <w:w w:val="99"/>
                </w:rPr>
                <w:t>4</w:t>
              </w:r>
            </w:hyperlink>
          </w:p>
        </w:tc>
        <w:tc>
          <w:tcPr>
            <w:tcW w:w="0" w:type="dxa"/>
            <w:vAlign w:val="bottom"/>
          </w:tcPr>
          <w:p>
            <w:pPr>
              <w:spacing w:after="0"/>
              <w:rPr>
                <w:sz w:val="1"/>
                <w:szCs w:val="1"/>
                <w:color w:val="auto"/>
              </w:rPr>
            </w:pPr>
          </w:p>
        </w:tc>
      </w:tr>
      <w:tr>
        <w:trPr>
          <w:trHeight w:val="48"/>
        </w:trPr>
        <w:tc>
          <w:tcPr>
            <w:tcW w:w="340" w:type="dxa"/>
            <w:vAlign w:val="bottom"/>
          </w:tcPr>
          <w:p>
            <w:pPr>
              <w:spacing w:after="0"/>
              <w:rPr>
                <w:sz w:val="4"/>
                <w:szCs w:val="4"/>
                <w:color w:val="auto"/>
              </w:rPr>
            </w:pPr>
          </w:p>
        </w:tc>
        <w:tc>
          <w:tcPr>
            <w:tcW w:w="4740" w:type="dxa"/>
            <w:vAlign w:val="bottom"/>
            <w:gridSpan w:val="6"/>
            <w:vMerge w:val="restart"/>
          </w:tcPr>
          <w:p>
            <w:pPr>
              <w:spacing w:after="0"/>
              <w:rPr>
                <w:rFonts w:ascii="Arial" w:cs="Arial" w:eastAsia="Arial" w:hAnsi="Arial"/>
                <w:sz w:val="18"/>
                <w:szCs w:val="18"/>
                <w:color w:val="0000EE"/>
                <w:w w:val="99"/>
              </w:rPr>
            </w:pPr>
            <w:hyperlink w:anchor="page5">
              <w:r>
                <w:rPr>
                  <w:rFonts w:ascii="Arial" w:cs="Arial" w:eastAsia="Arial" w:hAnsi="Arial"/>
                  <w:sz w:val="18"/>
                  <w:szCs w:val="18"/>
                  <w:color w:val="0000EE"/>
                  <w:w w:val="99"/>
                </w:rPr>
                <w:t>Statements of Changes in Net Assets Available for Benefits</w:t>
              </w:r>
            </w:hyperlink>
          </w:p>
        </w:tc>
        <w:tc>
          <w:tcPr>
            <w:tcW w:w="5860" w:type="dxa"/>
            <w:vAlign w:val="bottom"/>
            <w:gridSpan w:val="3"/>
            <w:vMerge w:val="restart"/>
          </w:tcPr>
          <w:p>
            <w:pPr>
              <w:spacing w:after="0"/>
              <w:rPr>
                <w:sz w:val="4"/>
                <w:szCs w:val="4"/>
                <w:color w:val="auto"/>
              </w:rPr>
            </w:pPr>
          </w:p>
        </w:tc>
        <w:tc>
          <w:tcPr>
            <w:tcW w:w="2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4740" w:type="dxa"/>
            <w:vAlign w:val="bottom"/>
            <w:gridSpan w:val="6"/>
            <w:vMerge w:val="continue"/>
          </w:tcPr>
          <w:p>
            <w:pPr>
              <w:spacing w:after="0" w:line="20" w:lineRule="exact"/>
              <w:rPr>
                <w:sz w:val="1"/>
                <w:szCs w:val="1"/>
                <w:color w:val="auto"/>
              </w:rPr>
            </w:pPr>
          </w:p>
        </w:tc>
        <w:tc>
          <w:tcPr>
            <w:tcW w:w="586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6"/>
        </w:trPr>
        <w:tc>
          <w:tcPr>
            <w:tcW w:w="340" w:type="dxa"/>
            <w:vAlign w:val="bottom"/>
          </w:tcPr>
          <w:p>
            <w:pPr>
              <w:spacing w:after="0"/>
              <w:rPr>
                <w:sz w:val="24"/>
                <w:szCs w:val="24"/>
                <w:color w:val="auto"/>
              </w:rPr>
            </w:pPr>
          </w:p>
        </w:tc>
        <w:tc>
          <w:tcPr>
            <w:tcW w:w="4740" w:type="dxa"/>
            <w:vAlign w:val="bottom"/>
            <w:tcBorders>
              <w:bottom w:val="single" w:sz="8" w:color="0000EE"/>
            </w:tcBorders>
            <w:gridSpan w:val="6"/>
            <w:vMerge w:val="continue"/>
          </w:tcPr>
          <w:p>
            <w:pPr>
              <w:spacing w:after="0"/>
              <w:rPr>
                <w:sz w:val="24"/>
                <w:szCs w:val="24"/>
                <w:color w:val="auto"/>
              </w:rPr>
            </w:pPr>
          </w:p>
        </w:tc>
        <w:tc>
          <w:tcPr>
            <w:tcW w:w="5860" w:type="dxa"/>
            <w:vAlign w:val="bottom"/>
            <w:gridSpan w:val="3"/>
            <w:vMerge w:val="continue"/>
          </w:tcPr>
          <w:p>
            <w:pPr>
              <w:spacing w:after="0"/>
              <w:rPr>
                <w:sz w:val="24"/>
                <w:szCs w:val="24"/>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5">
              <w:r>
                <w:rPr>
                  <w:rFonts w:ascii="Arial" w:cs="Arial" w:eastAsia="Arial" w:hAnsi="Arial"/>
                  <w:sz w:val="18"/>
                  <w:szCs w:val="18"/>
                  <w:color w:val="0000EE"/>
                  <w:w w:val="99"/>
                </w:rPr>
                <w:t>5</w:t>
              </w:r>
            </w:hyperlink>
          </w:p>
        </w:tc>
        <w:tc>
          <w:tcPr>
            <w:tcW w:w="0" w:type="dxa"/>
            <w:vAlign w:val="bottom"/>
          </w:tcPr>
          <w:p>
            <w:pPr>
              <w:spacing w:after="0"/>
              <w:rPr>
                <w:sz w:val="1"/>
                <w:szCs w:val="1"/>
                <w:color w:val="auto"/>
              </w:rPr>
            </w:pPr>
          </w:p>
        </w:tc>
      </w:tr>
      <w:tr>
        <w:trPr>
          <w:trHeight w:val="48"/>
        </w:trPr>
        <w:tc>
          <w:tcPr>
            <w:tcW w:w="340" w:type="dxa"/>
            <w:vAlign w:val="bottom"/>
          </w:tcPr>
          <w:p>
            <w:pPr>
              <w:spacing w:after="0"/>
              <w:rPr>
                <w:sz w:val="4"/>
                <w:szCs w:val="4"/>
                <w:color w:val="auto"/>
              </w:rPr>
            </w:pPr>
          </w:p>
        </w:tc>
        <w:tc>
          <w:tcPr>
            <w:tcW w:w="10600" w:type="dxa"/>
            <w:vAlign w:val="bottom"/>
            <w:gridSpan w:val="9"/>
            <w:vMerge w:val="restart"/>
          </w:tcPr>
          <w:p>
            <w:pPr>
              <w:spacing w:after="0"/>
              <w:rPr>
                <w:rFonts w:ascii="Arial" w:cs="Arial" w:eastAsia="Arial" w:hAnsi="Arial"/>
                <w:sz w:val="18"/>
                <w:szCs w:val="18"/>
                <w:color w:val="0000EE"/>
              </w:rPr>
            </w:pPr>
            <w:hyperlink w:anchor="page6">
              <w:r>
                <w:rPr>
                  <w:rFonts w:ascii="Arial" w:cs="Arial" w:eastAsia="Arial" w:hAnsi="Arial"/>
                  <w:sz w:val="18"/>
                  <w:szCs w:val="18"/>
                  <w:color w:val="0000EE"/>
                </w:rPr>
                <w:t>Notes to Financial Statements</w:t>
              </w:r>
            </w:hyperlink>
          </w:p>
        </w:tc>
        <w:tc>
          <w:tcPr>
            <w:tcW w:w="2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10600" w:type="dxa"/>
            <w:vAlign w:val="bottom"/>
            <w:gridSpan w:val="9"/>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340" w:type="dxa"/>
            <w:vAlign w:val="bottom"/>
          </w:tcPr>
          <w:p>
            <w:pPr>
              <w:spacing w:after="0"/>
              <w:rPr>
                <w:sz w:val="24"/>
                <w:szCs w:val="24"/>
                <w:color w:val="auto"/>
              </w:rPr>
            </w:pPr>
          </w:p>
        </w:tc>
        <w:tc>
          <w:tcPr>
            <w:tcW w:w="10600" w:type="dxa"/>
            <w:vAlign w:val="bottom"/>
            <w:gridSpan w:val="9"/>
            <w:vMerge w:val="continue"/>
          </w:tcPr>
          <w:p>
            <w:pPr>
              <w:spacing w:after="0"/>
              <w:rPr>
                <w:sz w:val="24"/>
                <w:szCs w:val="24"/>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6">
              <w:r>
                <w:rPr>
                  <w:rFonts w:ascii="Arial" w:cs="Arial" w:eastAsia="Arial" w:hAnsi="Arial"/>
                  <w:sz w:val="18"/>
                  <w:szCs w:val="18"/>
                  <w:color w:val="0000EE"/>
                  <w:w w:val="99"/>
                </w:rPr>
                <w:t>6</w:t>
              </w:r>
            </w:hyperlink>
          </w:p>
        </w:tc>
        <w:tc>
          <w:tcPr>
            <w:tcW w:w="0" w:type="dxa"/>
            <w:vAlign w:val="bottom"/>
          </w:tcPr>
          <w:p>
            <w:pPr>
              <w:spacing w:after="0"/>
              <w:rPr>
                <w:sz w:val="1"/>
                <w:szCs w:val="1"/>
                <w:color w:val="auto"/>
              </w:rPr>
            </w:pPr>
          </w:p>
        </w:tc>
      </w:tr>
      <w:tr>
        <w:trPr>
          <w:trHeight w:val="20"/>
        </w:trPr>
        <w:tc>
          <w:tcPr>
            <w:tcW w:w="340" w:type="dxa"/>
            <w:vAlign w:val="bottom"/>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720" w:type="dxa"/>
            <w:vAlign w:val="bottom"/>
            <w:shd w:val="clear" w:color="auto" w:fill="0000E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10940" w:type="dxa"/>
            <w:vAlign w:val="bottom"/>
            <w:gridSpan w:val="10"/>
            <w:vMerge w:val="restart"/>
          </w:tcPr>
          <w:p>
            <w:pPr>
              <w:spacing w:after="0"/>
              <w:rPr>
                <w:sz w:val="20"/>
                <w:szCs w:val="20"/>
                <w:color w:val="auto"/>
              </w:rPr>
            </w:pPr>
            <w:r>
              <w:rPr>
                <w:rFonts w:ascii="Arial" w:cs="Arial" w:eastAsia="Arial" w:hAnsi="Arial"/>
                <w:sz w:val="18"/>
                <w:szCs w:val="18"/>
                <w:color w:val="auto"/>
              </w:rPr>
              <w:t>Supplemental Schedule:</w:t>
            </w:r>
          </w:p>
        </w:tc>
        <w:tc>
          <w:tcPr>
            <w:tcW w:w="20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5"/>
        </w:trPr>
        <w:tc>
          <w:tcPr>
            <w:tcW w:w="10940" w:type="dxa"/>
            <w:vAlign w:val="bottom"/>
            <w:gridSpan w:val="10"/>
            <w:vMerge w:val="continue"/>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40" w:type="dxa"/>
            <w:vAlign w:val="bottom"/>
          </w:tcPr>
          <w:p>
            <w:pPr>
              <w:spacing w:after="0"/>
              <w:rPr>
                <w:sz w:val="24"/>
                <w:szCs w:val="24"/>
                <w:color w:val="auto"/>
              </w:rPr>
            </w:pPr>
          </w:p>
        </w:tc>
        <w:tc>
          <w:tcPr>
            <w:tcW w:w="7260" w:type="dxa"/>
            <w:vAlign w:val="bottom"/>
            <w:tcBorders>
              <w:bottom w:val="single" w:sz="8" w:color="0000EE"/>
            </w:tcBorders>
            <w:gridSpan w:val="8"/>
          </w:tcPr>
          <w:p>
            <w:pPr>
              <w:spacing w:after="0"/>
              <w:rPr>
                <w:rFonts w:ascii="Arial" w:cs="Arial" w:eastAsia="Arial" w:hAnsi="Arial"/>
                <w:sz w:val="18"/>
                <w:szCs w:val="18"/>
                <w:color w:val="0000EE"/>
                <w:w w:val="99"/>
              </w:rPr>
            </w:pPr>
            <w:hyperlink w:anchor="page12">
              <w:r>
                <w:rPr>
                  <w:rFonts w:ascii="Arial" w:cs="Arial" w:eastAsia="Arial" w:hAnsi="Arial"/>
                  <w:sz w:val="18"/>
                  <w:szCs w:val="18"/>
                  <w:color w:val="0000EE"/>
                  <w:w w:val="99"/>
                </w:rPr>
                <w:t>Form 5500 Schedule H, Part IV, Line 4a – Schedule of Delinquent Participant Contributions</w:t>
              </w:r>
            </w:hyperlink>
          </w:p>
        </w:tc>
        <w:tc>
          <w:tcPr>
            <w:tcW w:w="3340" w:type="dxa"/>
            <w:vAlign w:val="bottom"/>
          </w:tcPr>
          <w:p>
            <w:pPr>
              <w:spacing w:after="0"/>
              <w:rPr>
                <w:sz w:val="24"/>
                <w:szCs w:val="24"/>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12">
              <w:r>
                <w:rPr>
                  <w:rFonts w:ascii="Arial" w:cs="Arial" w:eastAsia="Arial" w:hAnsi="Arial"/>
                  <w:sz w:val="18"/>
                  <w:szCs w:val="18"/>
                  <w:color w:val="0000EE"/>
                  <w:w w:val="99"/>
                </w:rPr>
                <w:t>12</w:t>
              </w:r>
            </w:hyperlink>
          </w:p>
        </w:tc>
        <w:tc>
          <w:tcPr>
            <w:tcW w:w="0" w:type="dxa"/>
            <w:vAlign w:val="bottom"/>
          </w:tcPr>
          <w:p>
            <w:pPr>
              <w:spacing w:after="0"/>
              <w:rPr>
                <w:sz w:val="1"/>
                <w:szCs w:val="1"/>
                <w:color w:val="auto"/>
              </w:rPr>
            </w:pPr>
          </w:p>
        </w:tc>
      </w:tr>
      <w:tr>
        <w:trPr>
          <w:trHeight w:val="53"/>
        </w:trPr>
        <w:tc>
          <w:tcPr>
            <w:tcW w:w="340" w:type="dxa"/>
            <w:vAlign w:val="bottom"/>
          </w:tcPr>
          <w:p>
            <w:pPr>
              <w:spacing w:after="0"/>
              <w:rPr>
                <w:sz w:val="4"/>
                <w:szCs w:val="4"/>
                <w:color w:val="auto"/>
              </w:rPr>
            </w:pPr>
          </w:p>
        </w:tc>
        <w:tc>
          <w:tcPr>
            <w:tcW w:w="6640" w:type="dxa"/>
            <w:vAlign w:val="bottom"/>
            <w:gridSpan w:val="7"/>
            <w:vMerge w:val="restart"/>
          </w:tcPr>
          <w:p>
            <w:pPr>
              <w:spacing w:after="0"/>
              <w:rPr>
                <w:rFonts w:ascii="Arial" w:cs="Arial" w:eastAsia="Arial" w:hAnsi="Arial"/>
                <w:sz w:val="18"/>
                <w:szCs w:val="18"/>
                <w:color w:val="0000EE"/>
                <w:w w:val="99"/>
              </w:rPr>
            </w:pPr>
            <w:hyperlink w:anchor="page13">
              <w:r>
                <w:rPr>
                  <w:rFonts w:ascii="Arial" w:cs="Arial" w:eastAsia="Arial" w:hAnsi="Arial"/>
                  <w:sz w:val="18"/>
                  <w:szCs w:val="18"/>
                  <w:color w:val="0000EE"/>
                  <w:w w:val="99"/>
                </w:rPr>
                <w:t>Form 5500, Schedule H, Part IV, Line 4i – Schedule of Assets (Held at End of Year)</w:t>
              </w:r>
            </w:hyperlink>
          </w:p>
        </w:tc>
        <w:tc>
          <w:tcPr>
            <w:tcW w:w="3960" w:type="dxa"/>
            <w:vAlign w:val="bottom"/>
            <w:gridSpan w:val="2"/>
            <w:vMerge w:val="restart"/>
          </w:tcPr>
          <w:p>
            <w:pPr>
              <w:spacing w:after="0"/>
              <w:rPr>
                <w:sz w:val="4"/>
                <w:szCs w:val="4"/>
                <w:color w:val="auto"/>
              </w:rPr>
            </w:pPr>
          </w:p>
        </w:tc>
        <w:tc>
          <w:tcPr>
            <w:tcW w:w="200" w:type="dxa"/>
            <w:vAlign w:val="bottom"/>
            <w:tcBorders>
              <w:bottom w:val="single" w:sz="8" w:color="0000EE"/>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36"/>
        </w:trPr>
        <w:tc>
          <w:tcPr>
            <w:tcW w:w="340" w:type="dxa"/>
            <w:vAlign w:val="bottom"/>
          </w:tcPr>
          <w:p>
            <w:pPr>
              <w:spacing w:after="0"/>
              <w:rPr>
                <w:sz w:val="24"/>
                <w:szCs w:val="24"/>
                <w:color w:val="auto"/>
              </w:rPr>
            </w:pPr>
          </w:p>
        </w:tc>
        <w:tc>
          <w:tcPr>
            <w:tcW w:w="6640" w:type="dxa"/>
            <w:vAlign w:val="bottom"/>
            <w:tcBorders>
              <w:bottom w:val="single" w:sz="8" w:color="0000EE"/>
            </w:tcBorders>
            <w:gridSpan w:val="7"/>
            <w:vMerge w:val="continue"/>
          </w:tcPr>
          <w:p>
            <w:pPr>
              <w:spacing w:after="0"/>
              <w:rPr>
                <w:sz w:val="24"/>
                <w:szCs w:val="24"/>
                <w:color w:val="auto"/>
              </w:rPr>
            </w:pPr>
          </w:p>
        </w:tc>
        <w:tc>
          <w:tcPr>
            <w:tcW w:w="3960" w:type="dxa"/>
            <w:vAlign w:val="bottom"/>
            <w:gridSpan w:val="2"/>
            <w:vMerge w:val="continue"/>
          </w:tcPr>
          <w:p>
            <w:pPr>
              <w:spacing w:after="0"/>
              <w:rPr>
                <w:sz w:val="24"/>
                <w:szCs w:val="24"/>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13">
              <w:r>
                <w:rPr>
                  <w:rFonts w:ascii="Arial" w:cs="Arial" w:eastAsia="Arial" w:hAnsi="Arial"/>
                  <w:sz w:val="18"/>
                  <w:szCs w:val="18"/>
                  <w:color w:val="0000EE"/>
                  <w:w w:val="99"/>
                </w:rPr>
                <w:t>13</w:t>
              </w:r>
            </w:hyperlink>
          </w:p>
        </w:tc>
        <w:tc>
          <w:tcPr>
            <w:tcW w:w="0" w:type="dxa"/>
            <w:vAlign w:val="bottom"/>
          </w:tcPr>
          <w:p>
            <w:pPr>
              <w:spacing w:after="0"/>
              <w:rPr>
                <w:sz w:val="1"/>
                <w:szCs w:val="1"/>
                <w:color w:val="auto"/>
              </w:rPr>
            </w:pPr>
          </w:p>
        </w:tc>
      </w:tr>
      <w:tr>
        <w:trPr>
          <w:trHeight w:val="53"/>
        </w:trPr>
        <w:tc>
          <w:tcPr>
            <w:tcW w:w="860" w:type="dxa"/>
            <w:vAlign w:val="bottom"/>
            <w:gridSpan w:val="2"/>
            <w:vMerge w:val="restart"/>
          </w:tcPr>
          <w:p>
            <w:pPr>
              <w:spacing w:after="0"/>
              <w:rPr>
                <w:rFonts w:ascii="Arial" w:cs="Arial" w:eastAsia="Arial" w:hAnsi="Arial"/>
                <w:sz w:val="18"/>
                <w:szCs w:val="18"/>
                <w:color w:val="0000EE"/>
                <w:w w:val="97"/>
              </w:rPr>
            </w:pPr>
            <w:hyperlink w:anchor="page14">
              <w:r>
                <w:rPr>
                  <w:rFonts w:ascii="Arial" w:cs="Arial" w:eastAsia="Arial" w:hAnsi="Arial"/>
                  <w:sz w:val="18"/>
                  <w:szCs w:val="18"/>
                  <w:color w:val="0000EE"/>
                  <w:w w:val="97"/>
                </w:rPr>
                <w:t>Signatures</w:t>
              </w:r>
            </w:hyperlink>
          </w:p>
        </w:tc>
        <w:tc>
          <w:tcPr>
            <w:tcW w:w="10080" w:type="dxa"/>
            <w:vAlign w:val="bottom"/>
            <w:gridSpan w:val="8"/>
            <w:vMerge w:val="restart"/>
          </w:tcPr>
          <w:p>
            <w:pPr>
              <w:spacing w:after="0"/>
              <w:rPr>
                <w:sz w:val="4"/>
                <w:szCs w:val="4"/>
                <w:color w:val="auto"/>
              </w:rPr>
            </w:pPr>
          </w:p>
        </w:tc>
        <w:tc>
          <w:tcPr>
            <w:tcW w:w="200" w:type="dxa"/>
            <w:vAlign w:val="bottom"/>
            <w:tcBorders>
              <w:bottom w:val="single" w:sz="8" w:color="0000EE"/>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860" w:type="dxa"/>
            <w:vAlign w:val="bottom"/>
            <w:tcBorders>
              <w:bottom w:val="single" w:sz="8" w:color="0000EE"/>
            </w:tcBorders>
            <w:gridSpan w:val="2"/>
            <w:vMerge w:val="continue"/>
          </w:tcPr>
          <w:p>
            <w:pPr>
              <w:spacing w:after="0"/>
              <w:rPr>
                <w:sz w:val="21"/>
                <w:szCs w:val="21"/>
                <w:color w:val="auto"/>
              </w:rPr>
            </w:pPr>
          </w:p>
        </w:tc>
        <w:tc>
          <w:tcPr>
            <w:tcW w:w="10080" w:type="dxa"/>
            <w:vAlign w:val="bottom"/>
            <w:gridSpan w:val="8"/>
            <w:vMerge w:val="continue"/>
          </w:tcPr>
          <w:p>
            <w:pPr>
              <w:spacing w:after="0"/>
              <w:rPr>
                <w:sz w:val="21"/>
                <w:szCs w:val="21"/>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14">
              <w:r>
                <w:rPr>
                  <w:rFonts w:ascii="Arial" w:cs="Arial" w:eastAsia="Arial" w:hAnsi="Arial"/>
                  <w:sz w:val="18"/>
                  <w:szCs w:val="18"/>
                  <w:color w:val="0000EE"/>
                  <w:w w:val="99"/>
                </w:rPr>
                <w:t>14</w:t>
              </w:r>
            </w:hyperlink>
          </w:p>
        </w:tc>
        <w:tc>
          <w:tcPr>
            <w:tcW w:w="0" w:type="dxa"/>
            <w:vAlign w:val="bottom"/>
          </w:tcPr>
          <w:p>
            <w:pPr>
              <w:spacing w:after="0"/>
              <w:rPr>
                <w:sz w:val="1"/>
                <w:szCs w:val="1"/>
                <w:color w:val="auto"/>
              </w:rPr>
            </w:pPr>
          </w:p>
        </w:tc>
      </w:tr>
      <w:tr>
        <w:trPr>
          <w:trHeight w:val="53"/>
        </w:trPr>
        <w:tc>
          <w:tcPr>
            <w:tcW w:w="10940" w:type="dxa"/>
            <w:vAlign w:val="bottom"/>
            <w:gridSpan w:val="10"/>
            <w:vMerge w:val="restart"/>
          </w:tcPr>
          <w:p>
            <w:pPr>
              <w:spacing w:after="0"/>
              <w:rPr>
                <w:rFonts w:ascii="Arial" w:cs="Arial" w:eastAsia="Arial" w:hAnsi="Arial"/>
                <w:sz w:val="18"/>
                <w:szCs w:val="18"/>
                <w:color w:val="0000EE"/>
              </w:rPr>
            </w:pPr>
            <w:hyperlink w:anchor="page15">
              <w:r>
                <w:rPr>
                  <w:rFonts w:ascii="Arial" w:cs="Arial" w:eastAsia="Arial" w:hAnsi="Arial"/>
                  <w:sz w:val="18"/>
                  <w:szCs w:val="18"/>
                  <w:color w:val="0000EE"/>
                </w:rPr>
                <w:t>Exhibit Index</w:t>
              </w:r>
            </w:hyperlink>
          </w:p>
        </w:tc>
        <w:tc>
          <w:tcPr>
            <w:tcW w:w="200" w:type="dxa"/>
            <w:vAlign w:val="bottom"/>
            <w:tcBorders>
              <w:bottom w:val="single" w:sz="8" w:color="0000EE"/>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0940" w:type="dxa"/>
            <w:vAlign w:val="bottom"/>
            <w:gridSpan w:val="10"/>
            <w:vMerge w:val="continue"/>
          </w:tcPr>
          <w:p>
            <w:pPr>
              <w:spacing w:after="0"/>
              <w:rPr>
                <w:sz w:val="21"/>
                <w:szCs w:val="21"/>
                <w:color w:val="auto"/>
              </w:rPr>
            </w:pPr>
          </w:p>
        </w:tc>
        <w:tc>
          <w:tcPr>
            <w:tcW w:w="200" w:type="dxa"/>
            <w:vAlign w:val="bottom"/>
            <w:gridSpan w:val="3"/>
            <w:vMerge w:val="restart"/>
          </w:tcPr>
          <w:p>
            <w:pPr>
              <w:jc w:val="center"/>
              <w:spacing w:after="0"/>
              <w:rPr>
                <w:rFonts w:ascii="Arial" w:cs="Arial" w:eastAsia="Arial" w:hAnsi="Arial"/>
                <w:sz w:val="18"/>
                <w:szCs w:val="18"/>
                <w:color w:val="0000EE"/>
                <w:w w:val="99"/>
              </w:rPr>
            </w:pPr>
            <w:hyperlink w:anchor="page15">
              <w:r>
                <w:rPr>
                  <w:rFonts w:ascii="Arial" w:cs="Arial" w:eastAsia="Arial" w:hAnsi="Arial"/>
                  <w:sz w:val="18"/>
                  <w:szCs w:val="18"/>
                  <w:color w:val="0000EE"/>
                  <w:w w:val="99"/>
                </w:rPr>
                <w:t>15</w:t>
              </w:r>
            </w:hyperlink>
          </w:p>
        </w:tc>
        <w:tc>
          <w:tcPr>
            <w:tcW w:w="0" w:type="dxa"/>
            <w:vAlign w:val="bottom"/>
          </w:tcPr>
          <w:p>
            <w:pPr>
              <w:spacing w:after="0"/>
              <w:rPr>
                <w:sz w:val="1"/>
                <w:szCs w:val="1"/>
                <w:color w:val="auto"/>
              </w:rPr>
            </w:pPr>
          </w:p>
        </w:tc>
      </w:tr>
      <w:tr>
        <w:trPr>
          <w:trHeight w:val="20"/>
        </w:trPr>
        <w:tc>
          <w:tcPr>
            <w:tcW w:w="34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0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340" w:type="dxa"/>
            <w:vAlign w:val="bottom"/>
          </w:tcPr>
          <w:p>
            <w:pPr>
              <w:spacing w:after="0"/>
              <w:rPr>
                <w:sz w:val="4"/>
                <w:szCs w:val="4"/>
                <w:color w:val="auto"/>
              </w:rPr>
            </w:pPr>
          </w:p>
        </w:tc>
        <w:tc>
          <w:tcPr>
            <w:tcW w:w="10600" w:type="dxa"/>
            <w:vAlign w:val="bottom"/>
            <w:gridSpan w:val="9"/>
            <w:vMerge w:val="restart"/>
          </w:tcPr>
          <w:p>
            <w:pPr>
              <w:spacing w:after="0"/>
              <w:rPr>
                <w:sz w:val="20"/>
                <w:szCs w:val="20"/>
                <w:color w:val="auto"/>
              </w:rPr>
            </w:pPr>
            <w:r>
              <w:rPr>
                <w:rFonts w:ascii="Arial" w:cs="Arial" w:eastAsia="Arial" w:hAnsi="Arial"/>
                <w:sz w:val="18"/>
                <w:szCs w:val="18"/>
                <w:color w:val="auto"/>
              </w:rPr>
              <w:t>Exhibit 23.1 - Consent of Independent Registered Public Accounting Firm</w:t>
            </w:r>
          </w:p>
        </w:tc>
        <w:tc>
          <w:tcPr>
            <w:tcW w:w="200" w:type="dxa"/>
            <w:vAlign w:val="bottom"/>
            <w:tcBorders>
              <w:bottom w:val="single" w:sz="8" w:color="0000EE"/>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72"/>
        </w:trPr>
        <w:tc>
          <w:tcPr>
            <w:tcW w:w="340" w:type="dxa"/>
            <w:vAlign w:val="bottom"/>
          </w:tcPr>
          <w:p>
            <w:pPr>
              <w:spacing w:after="0"/>
              <w:rPr>
                <w:sz w:val="24"/>
                <w:szCs w:val="24"/>
                <w:color w:val="auto"/>
              </w:rPr>
            </w:pPr>
          </w:p>
        </w:tc>
        <w:tc>
          <w:tcPr>
            <w:tcW w:w="10600" w:type="dxa"/>
            <w:vAlign w:val="bottom"/>
            <w:gridSpan w:val="9"/>
            <w:vMerge w:val="continue"/>
          </w:tcPr>
          <w:p>
            <w:pPr>
              <w:spacing w:after="0"/>
              <w:rPr>
                <w:sz w:val="24"/>
                <w:szCs w:val="24"/>
                <w:color w:val="auto"/>
              </w:rPr>
            </w:pPr>
          </w:p>
        </w:tc>
        <w:tc>
          <w:tcPr>
            <w:tcW w:w="200" w:type="dxa"/>
            <w:vAlign w:val="bottom"/>
            <w:gridSpan w:val="3"/>
            <w:vMerge w:val="restart"/>
          </w:tcPr>
          <w:p>
            <w:pPr>
              <w:jc w:val="center"/>
              <w:spacing w:after="0"/>
              <w:rPr>
                <w:sz w:val="20"/>
                <w:szCs w:val="20"/>
                <w:color w:val="auto"/>
              </w:rPr>
            </w:pPr>
            <w:r>
              <w:rPr>
                <w:rFonts w:ascii="Arial" w:cs="Arial" w:eastAsia="Arial" w:hAnsi="Arial"/>
                <w:sz w:val="18"/>
                <w:szCs w:val="18"/>
                <w:color w:val="auto"/>
                <w:w w:val="99"/>
              </w:rPr>
              <w:t>16</w:t>
            </w:r>
          </w:p>
        </w:tc>
        <w:tc>
          <w:tcPr>
            <w:tcW w:w="0" w:type="dxa"/>
            <w:vAlign w:val="bottom"/>
          </w:tcPr>
          <w:p>
            <w:pPr>
              <w:spacing w:after="0"/>
              <w:rPr>
                <w:sz w:val="1"/>
                <w:szCs w:val="1"/>
                <w:color w:val="auto"/>
              </w:rPr>
            </w:pPr>
          </w:p>
        </w:tc>
      </w:tr>
      <w:tr>
        <w:trPr>
          <w:trHeight w:val="68"/>
        </w:trPr>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720" w:type="dxa"/>
            <w:vAlign w:val="bottom"/>
          </w:tcPr>
          <w:p>
            <w:pPr>
              <w:spacing w:after="0"/>
              <w:rPr>
                <w:sz w:val="5"/>
                <w:szCs w:val="5"/>
                <w:color w:val="auto"/>
              </w:rPr>
            </w:pPr>
          </w:p>
        </w:tc>
        <w:tc>
          <w:tcPr>
            <w:tcW w:w="1380" w:type="dxa"/>
            <w:vAlign w:val="bottom"/>
          </w:tcPr>
          <w:p>
            <w:pPr>
              <w:spacing w:after="0"/>
              <w:rPr>
                <w:sz w:val="5"/>
                <w:szCs w:val="5"/>
                <w:color w:val="auto"/>
              </w:rPr>
            </w:pPr>
          </w:p>
        </w:tc>
        <w:tc>
          <w:tcPr>
            <w:tcW w:w="4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620" w:type="dxa"/>
            <w:vAlign w:val="bottom"/>
          </w:tcPr>
          <w:p>
            <w:pPr>
              <w:spacing w:after="0"/>
              <w:rPr>
                <w:sz w:val="5"/>
                <w:szCs w:val="5"/>
                <w:color w:val="auto"/>
              </w:rPr>
            </w:pPr>
          </w:p>
        </w:tc>
        <w:tc>
          <w:tcPr>
            <w:tcW w:w="3340" w:type="dxa"/>
            <w:vAlign w:val="bottom"/>
          </w:tcPr>
          <w:p>
            <w:pPr>
              <w:spacing w:after="0"/>
              <w:rPr>
                <w:sz w:val="5"/>
                <w:szCs w:val="5"/>
                <w:color w:val="auto"/>
              </w:rPr>
            </w:pPr>
          </w:p>
        </w:tc>
        <w:tc>
          <w:tcPr>
            <w:tcW w:w="2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86"/>
        </w:trPr>
        <w:tc>
          <w:tcPr>
            <w:tcW w:w="6980" w:type="dxa"/>
            <w:vAlign w:val="bottom"/>
            <w:gridSpan w:val="8"/>
          </w:tcPr>
          <w:p>
            <w:pPr>
              <w:ind w:left="5620"/>
              <w:spacing w:after="0"/>
              <w:rPr>
                <w:sz w:val="20"/>
                <w:szCs w:val="20"/>
                <w:color w:val="auto"/>
              </w:rPr>
            </w:pPr>
            <w:r>
              <w:rPr>
                <w:rFonts w:ascii="Arial" w:cs="Arial" w:eastAsia="Arial" w:hAnsi="Arial"/>
                <w:sz w:val="18"/>
                <w:szCs w:val="18"/>
                <w:color w:val="auto"/>
              </w:rPr>
              <w:t>2</w:t>
            </w:r>
          </w:p>
        </w:tc>
        <w:tc>
          <w:tcPr>
            <w:tcW w:w="620" w:type="dxa"/>
            <w:vAlign w:val="bottom"/>
          </w:tcPr>
          <w:p>
            <w:pPr>
              <w:spacing w:after="0"/>
              <w:rPr>
                <w:sz w:val="24"/>
                <w:szCs w:val="24"/>
                <w:color w:val="auto"/>
              </w:rPr>
            </w:pPr>
          </w:p>
        </w:tc>
        <w:tc>
          <w:tcPr>
            <w:tcW w:w="3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60"/>
          </w:cols>
          <w:pgMar w:left="240" w:top="118" w:right="3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color w:val="auto"/>
        </w:rPr>
        <w:t>To the Participants and Administrator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the TechnipFMC Retirement Savings Plan</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 on the Financial Statements</w:t>
      </w:r>
    </w:p>
    <w:p>
      <w:pPr>
        <w:spacing w:after="0" w:line="85"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have audited the Statements of Net Assets Available for Benefits of the TechnipFMC Retirement Savings Plan (the Plan) as of December 31, 2018 and 2017, and the related Statements of Changes in Net Assets Available for Benefits for the years then ended, and the related notes to the financial statements (collectively referred to as the financial statements). In our opinion, the financial statements present fairly, in all material respects, the net assets available for benefits of the Plan as of December 31, 2018 and 2017, and the changes in net assets available for benefits for the years then ended, in conformity with accounting principles generally accepted in the United States of America.</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for Opinion</w:t>
      </w:r>
    </w:p>
    <w:p>
      <w:pPr>
        <w:spacing w:after="0" w:line="8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financial statements are the responsibility of Plan management. Our responsibility is to express an opinion on the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pPr>
        <w:spacing w:after="0" w:line="204"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Plan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Plan’s internal control over financial reporting. Accordingly, we express no such opinion.</w:t>
      </w:r>
    </w:p>
    <w:p>
      <w:pPr>
        <w:spacing w:after="0" w:line="206"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Plan management, as well as evaluating the overall presentation of the financial statements. We believe that our audits provide a reasonable basis for our opinion.</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Report on Supplemental Information</w:t>
      </w:r>
    </w:p>
    <w:p>
      <w:pPr>
        <w:spacing w:after="0" w:line="85"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The supplementary information of Schedule of Assets (Held at end of Year) as of December 31, 2018 has been subjected to audit procedures performed in conjunction with the audit of the Plan’s Financial Statements. The supplementary information is the responsibility of Plan management. Our audit procedures included determining whether the supplementary information reconciles to the financial statements or the underlying accounting and other records, as applicable, and performing procedures to test the completeness and accuracy of the information presented in the supplementary information. In forming our opinion on the supplementary information, we evaluated whether the supplementary information, including its form and content, is presented in conformity with the Department of Labor's Rules and Regulations for Reporting and Disclosure under the Employee Retirement Income Security Act of 1974. In our opinion, the supplementary information is fairly stated, in all material respects, in relation to the financial statements as a whole.</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s/ McConnell &amp; Jones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Plan’s auditors since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Houston, Texas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28, 2019</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60" w:right="239" w:bottom="1440" w:gutter="0" w:footer="0" w:header="0"/>
        </w:sectPr>
      </w:pPr>
    </w:p>
    <w:bookmarkStart w:id="3" w:name="page4"/>
    <w:bookmarkEnd w:id="3"/>
    <w:p>
      <w:pPr>
        <w:jc w:val="center"/>
        <w:ind w:left="3680"/>
        <w:spacing w:after="0"/>
        <w:rPr>
          <w:sz w:val="20"/>
          <w:szCs w:val="20"/>
          <w:color w:val="auto"/>
        </w:rPr>
      </w:pPr>
      <w:r>
        <w:rPr>
          <w:rFonts w:ascii="Arial" w:cs="Arial" w:eastAsia="Arial" w:hAnsi="Arial"/>
          <w:sz w:val="18"/>
          <w:szCs w:val="18"/>
          <w:b w:val="1"/>
          <w:bCs w:val="1"/>
          <w:color w:val="auto"/>
        </w:rPr>
        <w:t>TECHNIPFMC RETIREMENT SAVINGS PLAN</w:t>
      </w:r>
    </w:p>
    <w:p>
      <w:pPr>
        <w:spacing w:after="0" w:line="171" w:lineRule="exact"/>
        <w:rPr>
          <w:sz w:val="20"/>
          <w:szCs w:val="20"/>
          <w:color w:val="auto"/>
        </w:rPr>
      </w:pPr>
    </w:p>
    <w:p>
      <w:pPr>
        <w:jc w:val="center"/>
        <w:ind w:left="3680"/>
        <w:spacing w:after="0"/>
        <w:rPr>
          <w:sz w:val="20"/>
          <w:szCs w:val="20"/>
          <w:color w:val="auto"/>
        </w:rPr>
      </w:pPr>
      <w:r>
        <w:rPr>
          <w:rFonts w:ascii="Arial" w:cs="Arial" w:eastAsia="Arial" w:hAnsi="Arial"/>
          <w:sz w:val="17"/>
          <w:szCs w:val="17"/>
          <w:b w:val="1"/>
          <w:bCs w:val="1"/>
          <w:color w:val="auto"/>
        </w:rPr>
        <w:t>Statements of Net Assets Available for Benefits</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26035</wp:posOffset>
            </wp:positionV>
            <wp:extent cx="7246620" cy="188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53" w:lineRule="exact"/>
        <w:rPr>
          <w:sz w:val="20"/>
          <w:szCs w:val="20"/>
          <w:color w:val="auto"/>
        </w:rPr>
      </w:pPr>
    </w:p>
    <w:p>
      <w:pPr>
        <w:ind w:left="40"/>
        <w:spacing w:after="0"/>
        <w:rPr>
          <w:sz w:val="20"/>
          <w:szCs w:val="20"/>
          <w:color w:val="auto"/>
        </w:rPr>
      </w:pPr>
      <w:r>
        <w:rPr>
          <w:rFonts w:ascii="Arial" w:cs="Arial" w:eastAsia="Arial" w:hAnsi="Arial"/>
          <w:sz w:val="14"/>
          <w:szCs w:val="14"/>
          <w:color w:val="auto"/>
        </w:rPr>
        <w:t>Assets: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Investments: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380"/>
        <w:spacing w:after="0"/>
        <w:rPr>
          <w:sz w:val="20"/>
          <w:szCs w:val="20"/>
          <w:color w:val="auto"/>
        </w:rPr>
      </w:pPr>
      <w:r>
        <w:rPr>
          <w:rFonts w:ascii="Arial" w:cs="Arial" w:eastAsia="Arial" w:hAnsi="Arial"/>
          <w:sz w:val="14"/>
          <w:szCs w:val="14"/>
          <w:color w:val="auto"/>
        </w:rPr>
        <w:t>Investments, at fair value</w:t>
      </w:r>
    </w:p>
    <w:p>
      <w:pPr>
        <w:spacing w:after="0" w:line="217" w:lineRule="exact"/>
        <w:rPr>
          <w:sz w:val="20"/>
          <w:szCs w:val="20"/>
          <w:color w:val="auto"/>
        </w:rPr>
      </w:pPr>
    </w:p>
    <w:p>
      <w:pPr>
        <w:ind w:left="380"/>
        <w:spacing w:after="0"/>
        <w:rPr>
          <w:sz w:val="20"/>
          <w:szCs w:val="20"/>
          <w:color w:val="auto"/>
        </w:rPr>
      </w:pPr>
      <w:r>
        <w:rPr>
          <w:rFonts w:ascii="Arial" w:cs="Arial" w:eastAsia="Arial" w:hAnsi="Arial"/>
          <w:sz w:val="14"/>
          <w:szCs w:val="14"/>
          <w:color w:val="auto"/>
        </w:rPr>
        <w:t>Investments, at contract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600"/>
        <w:spacing w:after="0"/>
        <w:rPr>
          <w:sz w:val="20"/>
          <w:szCs w:val="20"/>
          <w:color w:val="auto"/>
        </w:rPr>
      </w:pPr>
      <w:r>
        <w:rPr>
          <w:rFonts w:ascii="Arial" w:cs="Arial" w:eastAsia="Arial" w:hAnsi="Arial"/>
          <w:sz w:val="14"/>
          <w:szCs w:val="14"/>
          <w:color w:val="auto"/>
        </w:rPr>
        <w:t>Total investments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Notes receivable from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Receivables – Employee contributions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Receivables – Employer contributions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assets</w:t>
      </w:r>
    </w:p>
    <w:p>
      <w:pPr>
        <w:spacing w:after="0" w:line="136" w:lineRule="exact"/>
        <w:rPr>
          <w:sz w:val="20"/>
          <w:szCs w:val="20"/>
          <w:color w:val="auto"/>
        </w:rPr>
      </w:pPr>
    </w:p>
    <w:p>
      <w:pPr>
        <w:ind w:left="40"/>
        <w:spacing w:after="0"/>
        <w:rPr>
          <w:sz w:val="20"/>
          <w:szCs w:val="20"/>
          <w:color w:val="auto"/>
        </w:rPr>
      </w:pPr>
      <w:r>
        <w:rPr>
          <w:rFonts w:ascii="Arial" w:cs="Arial" w:eastAsia="Arial" w:hAnsi="Arial"/>
          <w:sz w:val="14"/>
          <w:szCs w:val="14"/>
          <w:color w:val="auto"/>
        </w:rPr>
        <w:t>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Accrued administrative expenses</w:t>
      </w:r>
    </w:p>
    <w:p>
      <w:pPr>
        <w:spacing w:after="0" w:line="217" w:lineRule="exact"/>
        <w:rPr>
          <w:sz w:val="20"/>
          <w:szCs w:val="20"/>
          <w:color w:val="auto"/>
        </w:rPr>
      </w:pPr>
    </w:p>
    <w:p>
      <w:pPr>
        <w:ind w:left="380"/>
        <w:spacing w:after="0"/>
        <w:rPr>
          <w:sz w:val="20"/>
          <w:szCs w:val="20"/>
          <w:color w:val="auto"/>
        </w:rPr>
      </w:pPr>
      <w:r>
        <w:rPr>
          <w:rFonts w:ascii="Arial" w:cs="Arial" w:eastAsia="Arial" w:hAnsi="Arial"/>
          <w:sz w:val="14"/>
          <w:szCs w:val="14"/>
          <w:color w:val="auto"/>
        </w:rPr>
        <w:t>Total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2400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assets available for benefits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color w:val="auto"/>
        </w:rPr>
        <w:t>See accompanying notes to financial statements.</w:t>
      </w:r>
    </w:p>
    <w:p>
      <w:pPr>
        <w:spacing w:after="0" w:line="239"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19"/>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26035</wp:posOffset>
            </wp:positionV>
            <wp:extent cx="19551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955165" cy="8890"/>
                    </a:xfrm>
                    <a:prstGeom prst="rect">
                      <a:avLst/>
                    </a:prstGeom>
                    <a:noFill/>
                  </pic:spPr>
                </pic:pic>
              </a:graphicData>
            </a:graphic>
          </wp:anchor>
        </w:drawing>
      </w:r>
    </w:p>
    <w:p>
      <w:pPr>
        <w:spacing w:after="0" w:line="103" w:lineRule="exact"/>
        <w:rPr>
          <w:sz w:val="20"/>
          <w:szCs w:val="20"/>
          <w:color w:val="auto"/>
        </w:rPr>
      </w:pPr>
    </w:p>
    <w:p>
      <w:pPr>
        <w:ind w:left="640"/>
        <w:spacing w:after="0"/>
        <w:tabs>
          <w:tab w:leader="none" w:pos="222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1,024,235</w:t>
            </w:r>
          </w:p>
        </w:tc>
        <w:tc>
          <w:tcPr>
            <w:tcW w:w="120" w:type="dxa"/>
            <w:vAlign w:val="bottom"/>
          </w:tcPr>
          <w:p>
            <w:pPr>
              <w:spacing w:after="0"/>
              <w:rPr>
                <w:sz w:val="14"/>
                <w:szCs w:val="14"/>
                <w:color w:val="auto"/>
              </w:rPr>
            </w:pPr>
          </w:p>
        </w:tc>
        <w:tc>
          <w:tcPr>
            <w:tcW w:w="420" w:type="dxa"/>
            <w:vAlign w:val="bottom"/>
          </w:tcPr>
          <w:p>
            <w:pPr>
              <w:jc w:val="right"/>
              <w:ind w:right="248"/>
              <w:spacing w:after="0"/>
              <w:rPr>
                <w:sz w:val="20"/>
                <w:szCs w:val="20"/>
                <w:color w:val="auto"/>
              </w:rPr>
            </w:pPr>
            <w:r>
              <w:rPr>
                <w:rFonts w:ascii="Arial" w:cs="Arial" w:eastAsia="Arial" w:hAnsi="Arial"/>
                <w:sz w:val="14"/>
                <w:szCs w:val="14"/>
                <w:color w:val="auto"/>
              </w:rPr>
              <w:t>$</w:t>
            </w: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1,166,218</w:t>
            </w:r>
          </w:p>
        </w:tc>
      </w:tr>
      <w:tr>
        <w:trPr>
          <w:trHeight w:val="384"/>
        </w:trPr>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67,915</w:t>
            </w: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64,172</w:t>
            </w:r>
          </w:p>
        </w:tc>
      </w:tr>
      <w:tr>
        <w:trPr>
          <w:trHeight w:val="339"/>
        </w:trPr>
        <w:tc>
          <w:tcPr>
            <w:tcW w:w="420" w:type="dxa"/>
            <w:vAlign w:val="bottom"/>
          </w:tcPr>
          <w:p>
            <w:pPr>
              <w:spacing w:after="0"/>
              <w:rPr>
                <w:sz w:val="24"/>
                <w:szCs w:val="2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1,092,150</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1,230,390</w:t>
            </w:r>
          </w:p>
        </w:tc>
      </w:tr>
      <w:tr>
        <w:trPr>
          <w:trHeight w:val="392"/>
        </w:trPr>
        <w:tc>
          <w:tcPr>
            <w:tcW w:w="420" w:type="dxa"/>
            <w:vAlign w:val="bottom"/>
          </w:tcPr>
          <w:p>
            <w:pPr>
              <w:spacing w:after="0"/>
              <w:rPr>
                <w:sz w:val="24"/>
                <w:szCs w:val="2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26,197</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26,037</w:t>
            </w:r>
          </w:p>
        </w:tc>
      </w:tr>
      <w:tr>
        <w:trPr>
          <w:trHeight w:val="378"/>
        </w:trPr>
        <w:tc>
          <w:tcPr>
            <w:tcW w:w="420" w:type="dxa"/>
            <w:vAlign w:val="bottom"/>
          </w:tcPr>
          <w:p>
            <w:pPr>
              <w:spacing w:after="0"/>
              <w:rPr>
                <w:sz w:val="24"/>
                <w:szCs w:val="2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23</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384"/>
        </w:trPr>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62</w:t>
            </w: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339"/>
        </w:trPr>
        <w:tc>
          <w:tcPr>
            <w:tcW w:w="420" w:type="dxa"/>
            <w:vAlign w:val="bottom"/>
          </w:tcPr>
          <w:p>
            <w:pPr>
              <w:spacing w:after="0"/>
              <w:rPr>
                <w:sz w:val="24"/>
                <w:szCs w:val="24"/>
                <w:color w:val="auto"/>
              </w:rPr>
            </w:pPr>
          </w:p>
        </w:tc>
        <w:tc>
          <w:tcPr>
            <w:tcW w:w="1080" w:type="dxa"/>
            <w:vAlign w:val="bottom"/>
          </w:tcPr>
          <w:p>
            <w:pPr>
              <w:jc w:val="right"/>
              <w:ind w:right="48"/>
              <w:spacing w:after="0"/>
              <w:rPr>
                <w:sz w:val="20"/>
                <w:szCs w:val="20"/>
                <w:color w:val="auto"/>
              </w:rPr>
            </w:pPr>
            <w:r>
              <w:rPr>
                <w:rFonts w:ascii="Arial" w:cs="Arial" w:eastAsia="Arial" w:hAnsi="Arial"/>
                <w:sz w:val="14"/>
                <w:szCs w:val="14"/>
                <w:color w:val="auto"/>
              </w:rPr>
              <w:t>1,118,432</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jc w:val="right"/>
              <w:ind w:right="28"/>
              <w:spacing w:after="0"/>
              <w:rPr>
                <w:sz w:val="20"/>
                <w:szCs w:val="20"/>
                <w:color w:val="auto"/>
              </w:rPr>
            </w:pPr>
            <w:r>
              <w:rPr>
                <w:rFonts w:ascii="Arial" w:cs="Arial" w:eastAsia="Arial" w:hAnsi="Arial"/>
                <w:sz w:val="14"/>
                <w:szCs w:val="14"/>
                <w:color w:val="auto"/>
              </w:rPr>
              <w:t>1,256,427</w:t>
            </w:r>
          </w:p>
        </w:tc>
      </w:tr>
      <w:tr>
        <w:trPr>
          <w:trHeight w:val="695"/>
        </w:trPr>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156</w:t>
            </w:r>
          </w:p>
        </w:tc>
      </w:tr>
      <w:tr>
        <w:trPr>
          <w:trHeight w:val="358"/>
        </w:trPr>
        <w:tc>
          <w:tcPr>
            <w:tcW w:w="4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30</w:t>
            </w:r>
          </w:p>
        </w:tc>
        <w:tc>
          <w:tcPr>
            <w:tcW w:w="120" w:type="dxa"/>
            <w:vAlign w:val="bottom"/>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156</w:t>
            </w:r>
          </w:p>
        </w:tc>
      </w:tr>
      <w:tr>
        <w:trPr>
          <w:trHeight w:val="345"/>
        </w:trPr>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1,118,402</w:t>
            </w:r>
          </w:p>
        </w:tc>
        <w:tc>
          <w:tcPr>
            <w:tcW w:w="120" w:type="dxa"/>
            <w:vAlign w:val="bottom"/>
          </w:tcPr>
          <w:p>
            <w:pPr>
              <w:spacing w:after="0"/>
              <w:rPr>
                <w:sz w:val="24"/>
                <w:szCs w:val="24"/>
                <w:color w:val="auto"/>
              </w:rPr>
            </w:pP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10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1,256,271</w:t>
            </w:r>
          </w:p>
        </w:tc>
      </w:tr>
      <w:tr>
        <w:trPr>
          <w:trHeight w:val="20"/>
        </w:trPr>
        <w:tc>
          <w:tcPr>
            <w:tcW w:w="4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2">
            <w:col w:w="7740" w:space="600"/>
            <w:col w:w="3080"/>
          </w:cols>
          <w:pgMar w:left="240" w:top="360" w:right="239" w:bottom="1440" w:gutter="0" w:footer="0" w:header="0"/>
        </w:sectPr>
      </w:pPr>
    </w:p>
    <w:bookmarkStart w:id="4" w:name="page5"/>
    <w:bookmarkEnd w:id="4"/>
    <w:p>
      <w:pPr>
        <w:jc w:val="center"/>
        <w:ind w:right="-39"/>
        <w:spacing w:after="0"/>
        <w:rPr>
          <w:sz w:val="20"/>
          <w:szCs w:val="20"/>
          <w:color w:val="auto"/>
        </w:rPr>
      </w:pPr>
      <w:r>
        <w:rPr>
          <w:rFonts w:ascii="Arial" w:cs="Arial" w:eastAsia="Arial" w:hAnsi="Arial"/>
          <w:sz w:val="18"/>
          <w:szCs w:val="18"/>
          <w:b w:val="1"/>
          <w:bCs w:val="1"/>
          <w:color w:val="auto"/>
        </w:rPr>
        <w:t>TECHNIPFMC RETIREMENT SAVINGS PLAN</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Statements of Changes in Net Assets Available for Benefits</w:t>
      </w:r>
    </w:p>
    <w:p>
      <w:pPr>
        <w:sectPr>
          <w:pgSz w:w="11900" w:h="16838" w:orient="portrait"/>
          <w:cols w:equalWidth="0" w:num="1">
            <w:col w:w="11400"/>
          </w:cols>
          <w:pgMar w:left="240" w:top="360"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26035</wp:posOffset>
            </wp:positionV>
            <wp:extent cx="7229475" cy="1885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29475" cy="188595"/>
                    </a:xfrm>
                    <a:prstGeom prst="rect">
                      <a:avLst/>
                    </a:prstGeom>
                    <a:noFill/>
                  </pic:spPr>
                </pic:pic>
              </a:graphicData>
            </a:graphic>
          </wp:anchor>
        </w:drawing>
      </w:r>
    </w:p>
    <w:p>
      <w:pPr>
        <w:spacing w:after="0" w:line="53"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Additions to Net Assets Available for Benefits:</w:t>
      </w:r>
    </w:p>
    <w:p>
      <w:pPr>
        <w:spacing w:after="0" w:line="136"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Investment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Net appreciation (depreciation) in fair value of investments</w:t>
      </w:r>
    </w:p>
    <w:p>
      <w:pPr>
        <w:spacing w:after="0" w:line="21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Interest and dividend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720"/>
        <w:spacing w:after="0"/>
        <w:rPr>
          <w:sz w:val="20"/>
          <w:szCs w:val="20"/>
          <w:color w:val="auto"/>
        </w:rPr>
      </w:pPr>
      <w:r>
        <w:rPr>
          <w:rFonts w:ascii="Arial" w:cs="Arial" w:eastAsia="Arial" w:hAnsi="Arial"/>
          <w:sz w:val="14"/>
          <w:szCs w:val="14"/>
          <w:color w:val="auto"/>
        </w:rPr>
        <w:t>Net investment income (loss)</w:t>
      </w:r>
    </w:p>
    <w:p>
      <w:pPr>
        <w:spacing w:after="0" w:line="136"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Contributions: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Employee contributions</w:t>
      </w:r>
    </w:p>
    <w:p>
      <w:pPr>
        <w:spacing w:after="0" w:line="21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Employer contributions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Rollover contributions</w:t>
      </w:r>
    </w:p>
    <w:p>
      <w:pPr>
        <w:spacing w:after="0" w:line="217" w:lineRule="exact"/>
        <w:rPr>
          <w:sz w:val="20"/>
          <w:szCs w:val="20"/>
          <w:color w:val="auto"/>
        </w:rPr>
      </w:pPr>
    </w:p>
    <w:p>
      <w:pPr>
        <w:ind w:left="720"/>
        <w:spacing w:after="0"/>
        <w:rPr>
          <w:sz w:val="20"/>
          <w:szCs w:val="20"/>
          <w:color w:val="auto"/>
        </w:rPr>
      </w:pPr>
      <w:r>
        <w:rPr>
          <w:rFonts w:ascii="Arial" w:cs="Arial" w:eastAsia="Arial" w:hAnsi="Arial"/>
          <w:sz w:val="14"/>
          <w:szCs w:val="14"/>
          <w:color w:val="auto"/>
        </w:rPr>
        <w:t>Total contributions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Interest income on notes receivable from participants</w:t>
      </w:r>
    </w:p>
    <w:p>
      <w:pPr>
        <w:spacing w:after="0" w:line="21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Total additions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1885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29475" cy="188595"/>
                    </a:xfrm>
                    <a:prstGeom prst="rect">
                      <a:avLst/>
                    </a:prstGeom>
                    <a:noFill/>
                  </pic:spPr>
                </pic:pic>
              </a:graphicData>
            </a:graphic>
          </wp:anchor>
        </w:drawing>
      </w:r>
    </w:p>
    <w:p>
      <w:pPr>
        <w:spacing w:after="0" w:line="116" w:lineRule="exact"/>
        <w:rPr>
          <w:sz w:val="20"/>
          <w:szCs w:val="20"/>
          <w:color w:val="auto"/>
        </w:rPr>
      </w:pPr>
    </w:p>
    <w:p>
      <w:pPr>
        <w:ind w:left="40"/>
        <w:spacing w:after="0"/>
        <w:rPr>
          <w:sz w:val="20"/>
          <w:szCs w:val="20"/>
          <w:color w:val="auto"/>
        </w:rPr>
      </w:pPr>
      <w:r>
        <w:rPr>
          <w:rFonts w:ascii="Arial" w:cs="Arial" w:eastAsia="Arial" w:hAnsi="Arial"/>
          <w:sz w:val="14"/>
          <w:szCs w:val="14"/>
          <w:color w:val="auto"/>
        </w:rPr>
        <w:t>Deductions from Net Assets Available for Benefits: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Benefit distributions to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Administrative expenses</w:t>
      </w:r>
    </w:p>
    <w:p>
      <w:pPr>
        <w:spacing w:after="0" w:line="217" w:lineRule="exact"/>
        <w:rPr>
          <w:sz w:val="20"/>
          <w:szCs w:val="20"/>
          <w:color w:val="auto"/>
        </w:rPr>
      </w:pPr>
    </w:p>
    <w:p>
      <w:pPr>
        <w:ind w:left="400"/>
        <w:spacing w:after="0"/>
        <w:rPr>
          <w:sz w:val="20"/>
          <w:szCs w:val="20"/>
          <w:color w:val="auto"/>
        </w:rPr>
      </w:pPr>
      <w:r>
        <w:rPr>
          <w:rFonts w:ascii="Arial" w:cs="Arial" w:eastAsia="Arial" w:hAnsi="Arial"/>
          <w:sz w:val="14"/>
          <w:szCs w:val="14"/>
          <w:color w:val="auto"/>
        </w:rPr>
        <w:t>Total deductions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increase (decrease) prior to transfers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Transfers to the Plan (Note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increase (decrease) in net assets available for benefits</w:t>
      </w:r>
    </w:p>
    <w:p>
      <w:pPr>
        <w:spacing w:after="0" w:line="21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assets available for benefits, beginning of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66040</wp:posOffset>
            </wp:positionV>
            <wp:extent cx="7229475" cy="2400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29475" cy="240030"/>
                    </a:xfrm>
                    <a:prstGeom prst="rect">
                      <a:avLst/>
                    </a:prstGeom>
                    <a:noFill/>
                  </pic:spPr>
                </pic:pic>
              </a:graphicData>
            </a:graphic>
          </wp:anchor>
        </w:drawing>
      </w:r>
    </w:p>
    <w:p>
      <w:pPr>
        <w:spacing w:after="0" w:line="19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assets available for benefits, end of year</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color w:val="auto"/>
        </w:rPr>
        <w:t>See accompanying notes to financial statements.</w:t>
      </w:r>
    </w:p>
    <w:p>
      <w:pPr>
        <w:spacing w:after="0" w:line="239" w:lineRule="exact"/>
        <w:rPr>
          <w:sz w:val="20"/>
          <w:szCs w:val="20"/>
          <w:color w:val="auto"/>
        </w:rPr>
      </w:pPr>
    </w:p>
    <w:p>
      <w:pPr>
        <w:jc w:val="right"/>
        <w:ind w:right="118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5" w:lineRule="exact"/>
        <w:rPr>
          <w:sz w:val="20"/>
          <w:szCs w:val="20"/>
          <w:color w:val="auto"/>
        </w:rPr>
      </w:pPr>
    </w:p>
    <w:p>
      <w:pPr>
        <w:jc w:val="center"/>
        <w:ind w:right="-119"/>
        <w:spacing w:after="0"/>
        <w:rPr>
          <w:sz w:val="20"/>
          <w:szCs w:val="20"/>
          <w:color w:val="auto"/>
        </w:rPr>
      </w:pPr>
      <w:r>
        <w:rPr>
          <w:rFonts w:ascii="Arial" w:cs="Arial" w:eastAsia="Arial" w:hAnsi="Arial"/>
          <w:sz w:val="14"/>
          <w:szCs w:val="14"/>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26035</wp:posOffset>
            </wp:positionV>
            <wp:extent cx="238379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103" w:lineRule="exact"/>
        <w:rPr>
          <w:sz w:val="20"/>
          <w:szCs w:val="20"/>
          <w:color w:val="auto"/>
        </w:rPr>
      </w:pPr>
    </w:p>
    <w:p>
      <w:pPr>
        <w:ind w:left="800"/>
        <w:spacing w:after="0"/>
        <w:tabs>
          <w:tab w:leader="none" w:pos="270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580" w:type="dxa"/>
            <w:vAlign w:val="bottom"/>
          </w:tcPr>
          <w:p>
            <w:pPr>
              <w:jc w:val="right"/>
              <w:ind w:right="408"/>
              <w:spacing w:after="0"/>
              <w:rPr>
                <w:sz w:val="20"/>
                <w:szCs w:val="20"/>
                <w:color w:val="auto"/>
              </w:rPr>
            </w:pPr>
            <w:r>
              <w:rPr>
                <w:rFonts w:ascii="Arial" w:cs="Arial" w:eastAsia="Arial" w:hAnsi="Arial"/>
                <w:sz w:val="14"/>
                <w:szCs w:val="14"/>
                <w:color w:val="auto"/>
              </w:rPr>
              <w:t>$</w:t>
            </w:r>
          </w:p>
        </w:tc>
        <w:tc>
          <w:tcPr>
            <w:tcW w:w="1240" w:type="dxa"/>
            <w:vAlign w:val="bottom"/>
          </w:tcPr>
          <w:p>
            <w:pPr>
              <w:jc w:val="right"/>
              <w:spacing w:after="0"/>
              <w:rPr>
                <w:sz w:val="20"/>
                <w:szCs w:val="20"/>
                <w:color w:val="auto"/>
              </w:rPr>
            </w:pPr>
            <w:r>
              <w:rPr>
                <w:rFonts w:ascii="Arial" w:cs="Arial" w:eastAsia="Arial" w:hAnsi="Arial"/>
                <w:sz w:val="14"/>
                <w:szCs w:val="14"/>
                <w:color w:val="auto"/>
              </w:rPr>
              <w:t>(119,868)</w:t>
            </w:r>
          </w:p>
        </w:tc>
        <w:tc>
          <w:tcPr>
            <w:tcW w:w="120" w:type="dxa"/>
            <w:vAlign w:val="bottom"/>
          </w:tcPr>
          <w:p>
            <w:pPr>
              <w:spacing w:after="0"/>
              <w:rPr>
                <w:sz w:val="14"/>
                <w:szCs w:val="14"/>
                <w:color w:val="auto"/>
              </w:rPr>
            </w:pPr>
          </w:p>
        </w:tc>
        <w:tc>
          <w:tcPr>
            <w:tcW w:w="580" w:type="dxa"/>
            <w:vAlign w:val="bottom"/>
          </w:tcPr>
          <w:p>
            <w:pPr>
              <w:jc w:val="right"/>
              <w:ind w:right="408"/>
              <w:spacing w:after="0"/>
              <w:rPr>
                <w:sz w:val="20"/>
                <w:szCs w:val="20"/>
                <w:color w:val="auto"/>
              </w:rPr>
            </w:pPr>
            <w:r>
              <w:rPr>
                <w:rFonts w:ascii="Arial" w:cs="Arial" w:eastAsia="Arial" w:hAnsi="Arial"/>
                <w:sz w:val="14"/>
                <w:szCs w:val="14"/>
                <w:color w:val="auto"/>
              </w:rPr>
              <w:t>$</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59,526</w:t>
            </w:r>
          </w:p>
        </w:tc>
      </w:tr>
      <w:tr>
        <w:trPr>
          <w:trHeight w:val="384"/>
        </w:trPr>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16,314</w:t>
            </w:r>
          </w:p>
        </w:tc>
        <w:tc>
          <w:tcPr>
            <w:tcW w:w="12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18,948</w:t>
            </w:r>
          </w:p>
        </w:tc>
      </w:tr>
      <w:tr>
        <w:trPr>
          <w:trHeight w:val="352"/>
        </w:trPr>
        <w:tc>
          <w:tcPr>
            <w:tcW w:w="5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(103,554)</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78,474</w:t>
            </w:r>
          </w:p>
        </w:tc>
      </w:tr>
      <w:tr>
        <w:trPr>
          <w:trHeight w:val="675"/>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56,405</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32,730</w:t>
            </w:r>
          </w:p>
        </w:tc>
      </w:tr>
      <w:tr>
        <w:trPr>
          <w:trHeight w:val="378"/>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45,480</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32,275</w:t>
            </w:r>
          </w:p>
        </w:tc>
      </w:tr>
      <w:tr>
        <w:trPr>
          <w:trHeight w:val="384"/>
        </w:trPr>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4,683</w:t>
            </w:r>
          </w:p>
        </w:tc>
        <w:tc>
          <w:tcPr>
            <w:tcW w:w="12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2,357</w:t>
            </w:r>
          </w:p>
        </w:tc>
      </w:tr>
      <w:tr>
        <w:trPr>
          <w:trHeight w:val="352"/>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106,568</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67,362</w:t>
            </w:r>
          </w:p>
        </w:tc>
      </w:tr>
      <w:tr>
        <w:trPr>
          <w:trHeight w:val="384"/>
        </w:trPr>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1,317</w:t>
            </w:r>
          </w:p>
        </w:tc>
        <w:tc>
          <w:tcPr>
            <w:tcW w:w="12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874</w:t>
            </w:r>
          </w:p>
        </w:tc>
      </w:tr>
      <w:tr>
        <w:trPr>
          <w:trHeight w:val="352"/>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4,331</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146,710</w:t>
            </w:r>
          </w:p>
        </w:tc>
      </w:tr>
      <w:tr>
        <w:trPr>
          <w:trHeight w:val="675"/>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141,638</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98,761</w:t>
            </w:r>
          </w:p>
        </w:tc>
      </w:tr>
      <w:tr>
        <w:trPr>
          <w:trHeight w:val="384"/>
        </w:trPr>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562</w:t>
            </w:r>
          </w:p>
        </w:tc>
        <w:tc>
          <w:tcPr>
            <w:tcW w:w="12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157</w:t>
            </w:r>
          </w:p>
        </w:tc>
      </w:tr>
      <w:tr>
        <w:trPr>
          <w:trHeight w:val="352"/>
        </w:trPr>
        <w:tc>
          <w:tcPr>
            <w:tcW w:w="580" w:type="dxa"/>
            <w:vAlign w:val="bottom"/>
          </w:tcPr>
          <w:p>
            <w:pPr>
              <w:spacing w:after="0"/>
              <w:rPr>
                <w:sz w:val="24"/>
                <w:szCs w:val="24"/>
                <w:color w:val="auto"/>
              </w:rPr>
            </w:pPr>
          </w:p>
        </w:tc>
        <w:tc>
          <w:tcPr>
            <w:tcW w:w="1240" w:type="dxa"/>
            <w:vAlign w:val="bottom"/>
          </w:tcPr>
          <w:p>
            <w:pPr>
              <w:jc w:val="right"/>
              <w:ind w:right="28"/>
              <w:spacing w:after="0"/>
              <w:rPr>
                <w:sz w:val="20"/>
                <w:szCs w:val="20"/>
                <w:color w:val="auto"/>
              </w:rPr>
            </w:pPr>
            <w:r>
              <w:rPr>
                <w:rFonts w:ascii="Arial" w:cs="Arial" w:eastAsia="Arial" w:hAnsi="Arial"/>
                <w:sz w:val="14"/>
                <w:szCs w:val="14"/>
                <w:color w:val="auto"/>
              </w:rPr>
              <w:t>142,200</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98,918</w:t>
            </w:r>
          </w:p>
        </w:tc>
      </w:tr>
      <w:tr>
        <w:trPr>
          <w:trHeight w:val="378"/>
        </w:trPr>
        <w:tc>
          <w:tcPr>
            <w:tcW w:w="5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4"/>
                <w:szCs w:val="14"/>
                <w:color w:val="auto"/>
              </w:rPr>
              <w:t>(137,869)</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47,792</w:t>
            </w:r>
          </w:p>
        </w:tc>
      </w:tr>
      <w:tr>
        <w:trPr>
          <w:trHeight w:val="384"/>
        </w:trPr>
        <w:tc>
          <w:tcPr>
            <w:tcW w:w="580" w:type="dxa"/>
            <w:vAlign w:val="bottom"/>
          </w:tcPr>
          <w:p>
            <w:pPr>
              <w:spacing w:after="0"/>
              <w:rPr>
                <w:sz w:val="24"/>
                <w:szCs w:val="24"/>
                <w:color w:val="auto"/>
              </w:rPr>
            </w:pPr>
          </w:p>
        </w:tc>
        <w:tc>
          <w:tcPr>
            <w:tcW w:w="13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580" w:type="dxa"/>
            <w:vAlign w:val="bottom"/>
          </w:tcPr>
          <w:p>
            <w:pPr>
              <w:spacing w:after="0"/>
              <w:rPr>
                <w:sz w:val="24"/>
                <w:szCs w:val="24"/>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457,103</w:t>
            </w:r>
          </w:p>
        </w:tc>
      </w:tr>
      <w:tr>
        <w:trPr>
          <w:trHeight w:val="339"/>
        </w:trPr>
        <w:tc>
          <w:tcPr>
            <w:tcW w:w="580" w:type="dxa"/>
            <w:vAlign w:val="bottom"/>
            <w:tcBorders>
              <w:top w:val="single" w:sz="8" w:color="auto"/>
            </w:tcBorders>
          </w:tcPr>
          <w:p>
            <w:pPr>
              <w:spacing w:after="0"/>
              <w:rPr>
                <w:sz w:val="24"/>
                <w:szCs w:val="24"/>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(137,869)</w:t>
            </w:r>
          </w:p>
        </w:tc>
        <w:tc>
          <w:tcPr>
            <w:tcW w:w="120" w:type="dxa"/>
            <w:vAlign w:val="bottom"/>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22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504,895</w:t>
            </w:r>
          </w:p>
        </w:tc>
      </w:tr>
      <w:tr>
        <w:trPr>
          <w:trHeight w:val="398"/>
        </w:trPr>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1,256,271</w:t>
            </w:r>
          </w:p>
        </w:tc>
        <w:tc>
          <w:tcPr>
            <w:tcW w:w="12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751,376</w:t>
            </w:r>
          </w:p>
        </w:tc>
      </w:tr>
      <w:tr>
        <w:trPr>
          <w:trHeight w:val="345"/>
        </w:trPr>
        <w:tc>
          <w:tcPr>
            <w:tcW w:w="5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12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1,118,402</w:t>
            </w:r>
          </w:p>
        </w:tc>
        <w:tc>
          <w:tcPr>
            <w:tcW w:w="120" w:type="dxa"/>
            <w:vAlign w:val="bottom"/>
          </w:tcPr>
          <w:p>
            <w:pPr>
              <w:spacing w:after="0"/>
              <w:rPr>
                <w:sz w:val="24"/>
                <w:szCs w:val="24"/>
                <w:color w:val="auto"/>
              </w:rPr>
            </w:pPr>
          </w:p>
        </w:tc>
        <w:tc>
          <w:tcPr>
            <w:tcW w:w="5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1,256,271</w:t>
            </w:r>
          </w:p>
        </w:tc>
      </w:tr>
      <w:tr>
        <w:trPr>
          <w:trHeight w:val="20"/>
        </w:trPr>
        <w:tc>
          <w:tcPr>
            <w:tcW w:w="5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2">
            <w:col w:w="6940" w:space="720"/>
            <w:col w:w="3740"/>
          </w:cols>
          <w:pgMar w:left="240" w:top="360" w:right="259" w:bottom="1440" w:gutter="0" w:footer="0" w:header="0"/>
          <w:type w:val="continuous"/>
        </w:sectPr>
      </w:pPr>
    </w:p>
    <w:bookmarkStart w:id="5" w:name="page6"/>
    <w:bookmarkEnd w:id="5"/>
    <w:p>
      <w:pPr>
        <w:jc w:val="center"/>
        <w:ind w:right="-79"/>
        <w:spacing w:after="0"/>
        <w:rPr>
          <w:sz w:val="20"/>
          <w:szCs w:val="20"/>
          <w:color w:val="auto"/>
        </w:rPr>
      </w:pPr>
      <w:r>
        <w:rPr>
          <w:rFonts w:ascii="Arial" w:cs="Arial" w:eastAsia="Arial" w:hAnsi="Arial"/>
          <w:sz w:val="18"/>
          <w:szCs w:val="18"/>
          <w:b w:val="1"/>
          <w:bCs w:val="1"/>
          <w:color w:val="auto"/>
        </w:rPr>
        <w:t>TECHNIPFMC RETIREMENT SAVINGS PLAN</w:t>
      </w:r>
    </w:p>
    <w:p>
      <w:pPr>
        <w:spacing w:after="0" w:line="19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Notes to Financial Statements</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DESCRIPTION OF THE PLAN</w:t>
      </w:r>
    </w:p>
    <w:p>
      <w:pPr>
        <w:spacing w:after="0" w:line="112" w:lineRule="exact"/>
        <w:rPr>
          <w:sz w:val="20"/>
          <w:szCs w:val="20"/>
          <w:color w:val="auto"/>
        </w:rPr>
      </w:pPr>
    </w:p>
    <w:p>
      <w:pPr>
        <w:ind w:right="100"/>
        <w:spacing w:after="0" w:line="262" w:lineRule="auto"/>
        <w:rPr>
          <w:sz w:val="20"/>
          <w:szCs w:val="20"/>
          <w:color w:val="auto"/>
        </w:rPr>
      </w:pPr>
      <w:r>
        <w:rPr>
          <w:rFonts w:ascii="Arial" w:cs="Arial" w:eastAsia="Arial" w:hAnsi="Arial"/>
          <w:sz w:val="18"/>
          <w:szCs w:val="18"/>
          <w:color w:val="auto"/>
        </w:rPr>
        <w:t>The following description of the TechnipFMC Retirement Savings Plan (the “Plan”) provides general information. Refer to the Plan agreement, as amended, for a complete description of the Plan’s provisions.</w:t>
      </w:r>
    </w:p>
    <w:p>
      <w:pPr>
        <w:spacing w:after="0" w:line="120" w:lineRule="exact"/>
        <w:rPr>
          <w:sz w:val="20"/>
          <w:szCs w:val="20"/>
          <w:color w:val="auto"/>
        </w:rPr>
      </w:pPr>
    </w:p>
    <w:p>
      <w:pPr>
        <w:ind w:left="880" w:hanging="440"/>
        <w:spacing w:after="0"/>
        <w:tabs>
          <w:tab w:leader="none" w:pos="880" w:val="left"/>
        </w:tabs>
        <w:numPr>
          <w:ilvl w:val="0"/>
          <w:numId w:val="3"/>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General</w:t>
      </w:r>
    </w:p>
    <w:p>
      <w:pPr>
        <w:spacing w:after="0" w:line="112" w:lineRule="exact"/>
        <w:rPr>
          <w:rFonts w:ascii="Arial" w:cs="Arial" w:eastAsia="Arial" w:hAnsi="Arial"/>
          <w:sz w:val="18"/>
          <w:szCs w:val="18"/>
          <w:b w:val="1"/>
          <w:bCs w:val="1"/>
          <w:i w:val="1"/>
          <w:iCs w:val="1"/>
          <w:color w:val="auto"/>
        </w:rPr>
      </w:pPr>
    </w:p>
    <w:p>
      <w:pPr>
        <w:ind w:left="880" w:right="40"/>
        <w:spacing w:after="0" w:line="252"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Plan is a qualified salary-reduction plan under Section 401(k) of the Internal Revenue Code of 1986, as amended (the “Code”), and is available to all eligible U.S. employees of TechnipFMC plc (“TechnipFMC” or the “Company”) who meet certain eligibility requirements under the Plan. Such employees are eligible to participate in the Plan immediately upon commencement of their employment with the Company. The Plan is subject to the provisions of the Employee Retirement Income Security Act of 1974, as amended (“ERISA”). The Plan is administered by the FMC Technologies, Inc. Employee Benefits Committee (“EBC”), acting on behalf of the Company as the Plan administrator.</w:t>
      </w:r>
    </w:p>
    <w:p>
      <w:pPr>
        <w:spacing w:after="0" w:line="73" w:lineRule="exact"/>
        <w:rPr>
          <w:rFonts w:ascii="Arial" w:cs="Arial" w:eastAsia="Arial" w:hAnsi="Arial"/>
          <w:sz w:val="18"/>
          <w:szCs w:val="18"/>
          <w:b w:val="1"/>
          <w:bCs w:val="1"/>
          <w:i w:val="1"/>
          <w:iCs w:val="1"/>
          <w:color w:val="auto"/>
        </w:rPr>
      </w:pPr>
    </w:p>
    <w:p>
      <w:pPr>
        <w:ind w:left="880" w:right="20"/>
        <w:spacing w:after="0" w:line="262" w:lineRule="auto"/>
        <w:rPr>
          <w:rFonts w:ascii="Arial" w:cs="Arial" w:eastAsia="Arial" w:hAnsi="Arial"/>
          <w:sz w:val="18"/>
          <w:szCs w:val="18"/>
          <w:b w:val="1"/>
          <w:bCs w:val="1"/>
          <w:i w:val="1"/>
          <w:iCs w:val="1"/>
          <w:color w:val="auto"/>
        </w:rPr>
      </w:pPr>
      <w:r>
        <w:rPr>
          <w:rFonts w:ascii="Arial" w:cs="Arial" w:eastAsia="Arial" w:hAnsi="Arial"/>
          <w:sz w:val="18"/>
          <w:szCs w:val="18"/>
          <w:color w:val="auto"/>
        </w:rPr>
        <w:t>On June 14, 2016, Technip S.A. (“Technip”) and FMC Technologies, Inc. (“FMC Technologies”) entered into a business combination agreement, as amended, in order to effect a strategic combination of their businesses through the following mergers:</w:t>
      </w:r>
    </w:p>
    <w:p>
      <w:pPr>
        <w:spacing w:after="0" w:line="61" w:lineRule="exact"/>
        <w:rPr>
          <w:rFonts w:ascii="Arial" w:cs="Arial" w:eastAsia="Arial" w:hAnsi="Arial"/>
          <w:sz w:val="18"/>
          <w:szCs w:val="18"/>
          <w:b w:val="1"/>
          <w:bCs w:val="1"/>
          <w:i w:val="1"/>
          <w:iCs w:val="1"/>
          <w:color w:val="auto"/>
        </w:rPr>
      </w:pPr>
    </w:p>
    <w:p>
      <w:pPr>
        <w:jc w:val="both"/>
        <w:ind w:left="880" w:right="40" w:firstLine="6"/>
        <w:spacing w:after="0" w:line="256"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merger of Technip with and into the Company, in a cross-border merger by absorption, within the meaning of the Directive 2005/56/EC of the European Parliament and the Council of 26 October 2005 on cross-border mergers of limited liability companies, as amended, with the Company as the surviving entity (the “Technip Merger”); and</w:t>
      </w:r>
    </w:p>
    <w:p>
      <w:pPr>
        <w:spacing w:after="0" w:line="66" w:lineRule="exact"/>
        <w:rPr>
          <w:rFonts w:ascii="Arial" w:cs="Arial" w:eastAsia="Arial" w:hAnsi="Arial"/>
          <w:sz w:val="18"/>
          <w:szCs w:val="18"/>
          <w:color w:val="auto"/>
        </w:rPr>
      </w:pPr>
    </w:p>
    <w:p>
      <w:pPr>
        <w:ind w:left="880" w:right="160" w:firstLine="6"/>
        <w:spacing w:after="0" w:line="254"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immediately thereafter, the merger of TechnipFMC US Merger Sub LLC, a Delaware limited liability company and, at the relevant time, a wholly-owned indirect subsidiary of the Company (“US Merger Sub”), with and into FMC Technologies, with FMC Technologies surviving as a wholly-owned indirect subsidiary of the Company (the “FMCTI Merger”, and together with the Technip Merger, the “Mergers”).</w:t>
      </w:r>
    </w:p>
    <w:p>
      <w:pPr>
        <w:spacing w:after="0" w:line="69" w:lineRule="exact"/>
        <w:rPr>
          <w:sz w:val="20"/>
          <w:szCs w:val="20"/>
          <w:color w:val="auto"/>
        </w:rPr>
      </w:pPr>
    </w:p>
    <w:p>
      <w:pPr>
        <w:ind w:left="880" w:right="40"/>
        <w:spacing w:after="0" w:line="253" w:lineRule="auto"/>
        <w:rPr>
          <w:sz w:val="20"/>
          <w:szCs w:val="20"/>
          <w:color w:val="auto"/>
        </w:rPr>
      </w:pPr>
      <w:r>
        <w:rPr>
          <w:rFonts w:ascii="Arial" w:cs="Arial" w:eastAsia="Arial" w:hAnsi="Arial"/>
          <w:sz w:val="18"/>
          <w:szCs w:val="18"/>
          <w:color w:val="auto"/>
        </w:rPr>
        <w:t>On January 16, 2017, the completion of the Mergers was effective. Technip shares were delisted from Euronext Paris, and FMC Technologies shares were delisted from the New York Stock Exchange and deregistered under the U.S. Securities Exchange Act of 1934. As a result of the Mergers, TechnipFMC plc (“TechnipFMC”) began trading on the New York Stock Exchange and Euronext Paris exchange under the symbol “FTI” and is now the ultimate parent company of FMC Technologies. Each share of FMC Technologies was exchanged for 1.0 ordinary share of the Company (the “FTI shares”).</w:t>
      </w:r>
    </w:p>
    <w:p>
      <w:pPr>
        <w:spacing w:after="0" w:line="70" w:lineRule="exact"/>
        <w:rPr>
          <w:sz w:val="20"/>
          <w:szCs w:val="20"/>
          <w:color w:val="auto"/>
        </w:rPr>
      </w:pPr>
    </w:p>
    <w:p>
      <w:pPr>
        <w:ind w:left="880"/>
        <w:spacing w:after="0" w:line="254" w:lineRule="auto"/>
        <w:rPr>
          <w:sz w:val="20"/>
          <w:szCs w:val="20"/>
          <w:color w:val="auto"/>
        </w:rPr>
      </w:pPr>
      <w:r>
        <w:rPr>
          <w:rFonts w:ascii="Arial" w:cs="Arial" w:eastAsia="Arial" w:hAnsi="Arial"/>
          <w:sz w:val="18"/>
          <w:szCs w:val="18"/>
          <w:color w:val="auto"/>
        </w:rPr>
        <w:t>In conjunction with the Merger, plan assets of the Technip USA, Inc. 401(k) Profit Sharing Plan (“Technip U.S. Plan”), Technip Umbilicals Inc. 401(k) Plan (“Technip Umbilicals Plan”), and Forsys Subsea Retirement Savings Plan (“Forsys Subsea Plan”) merged into the Plan effective December 29, 2017. As a result, the Plan’s name changed from FMC Technologies, Inc. Savings and Investment Plan to TechnipFMC Retirement Savings Plan.</w:t>
      </w:r>
    </w:p>
    <w:p>
      <w:pPr>
        <w:spacing w:after="0" w:line="128" w:lineRule="exact"/>
        <w:rPr>
          <w:sz w:val="20"/>
          <w:szCs w:val="20"/>
          <w:color w:val="auto"/>
        </w:rPr>
      </w:pPr>
    </w:p>
    <w:p>
      <w:pPr>
        <w:ind w:left="880" w:hanging="440"/>
        <w:spacing w:after="0"/>
        <w:tabs>
          <w:tab w:leader="none" w:pos="880" w:val="left"/>
        </w:tabs>
        <w:numPr>
          <w:ilvl w:val="0"/>
          <w:numId w:val="4"/>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Contributions</w:t>
      </w:r>
    </w:p>
    <w:p>
      <w:pPr>
        <w:spacing w:after="0" w:line="112" w:lineRule="exact"/>
        <w:rPr>
          <w:rFonts w:ascii="Arial" w:cs="Arial" w:eastAsia="Arial" w:hAnsi="Arial"/>
          <w:sz w:val="18"/>
          <w:szCs w:val="18"/>
          <w:b w:val="1"/>
          <w:bCs w:val="1"/>
          <w:i w:val="1"/>
          <w:iCs w:val="1"/>
          <w:color w:val="auto"/>
        </w:rPr>
      </w:pPr>
    </w:p>
    <w:p>
      <w:pPr>
        <w:ind w:left="880" w:right="60"/>
        <w:spacing w:after="0" w:line="253"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Plan allows participants to contribute a percentage of their compensation to the Plan. Participants may elect to contribute up to 75% of their total eligible compensation on a pre-tax or an after-tax basis. Pre-tax contributions were subject to the limitation of $18,500 and $18,000 for 2018 and 2017, respectively, under the Code. In addition, active employees who attain age 50 or older during the year are eligible to make catch-up contributions to the prescribed limit. The limitation on the catch-up contribution was $6,000 for 2018 and 2017.</w:t>
      </w:r>
    </w:p>
    <w:p>
      <w:pPr>
        <w:spacing w:after="0" w:line="70" w:lineRule="exact"/>
        <w:rPr>
          <w:rFonts w:ascii="Arial" w:cs="Arial" w:eastAsia="Arial" w:hAnsi="Arial"/>
          <w:sz w:val="18"/>
          <w:szCs w:val="18"/>
          <w:b w:val="1"/>
          <w:bCs w:val="1"/>
          <w:i w:val="1"/>
          <w:iCs w:val="1"/>
          <w:color w:val="auto"/>
        </w:rPr>
      </w:pPr>
    </w:p>
    <w:p>
      <w:pPr>
        <w:ind w:left="880" w:right="60"/>
        <w:spacing w:after="0" w:line="253"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makes matching contributions (“Company Safe Harbor Matching Contributions”) for all active participants, except for certain bargaining unit employees. The Company matches 100% of each nonunion participant’s contribution, up to the first 5% of eligible compensation. The nonelective contribution percentage is determined annually by the Company. The Company made nonelective contributions of 2% and 4% for all eligible participants during the years ended December 31, 2018 and 2017, respectively.</w:t>
      </w:r>
    </w:p>
    <w:p>
      <w:pPr>
        <w:spacing w:after="0" w:line="21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60"/>
          </w:cols>
          <w:pgMar w:left="240" w:top="360" w:right="299" w:bottom="1440" w:gutter="0" w:footer="0" w:header="0"/>
        </w:sectPr>
      </w:pPr>
    </w:p>
    <w:bookmarkStart w:id="6" w:name="page7"/>
    <w:bookmarkEnd w:id="6"/>
    <w:p>
      <w:pPr>
        <w:ind w:left="440" w:right="680"/>
        <w:spacing w:after="0" w:line="262" w:lineRule="auto"/>
        <w:rPr>
          <w:sz w:val="20"/>
          <w:szCs w:val="20"/>
          <w:color w:val="auto"/>
        </w:rPr>
      </w:pPr>
      <w:r>
        <w:rPr>
          <w:rFonts w:ascii="Arial" w:cs="Arial" w:eastAsia="Arial" w:hAnsi="Arial"/>
          <w:sz w:val="18"/>
          <w:szCs w:val="18"/>
          <w:color w:val="auto"/>
        </w:rPr>
        <w:t>Participants may also contribute amounts representing distributions from other qualified defined contribution plans (rollover contributions).</w:t>
      </w:r>
    </w:p>
    <w:p>
      <w:pPr>
        <w:spacing w:after="0" w:line="6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At December 31, 2018 and 2017, a total of 10,872 and 10,766 current and former employees participated in the Plan, respectively.</w:t>
      </w:r>
    </w:p>
    <w:p>
      <w:pPr>
        <w:spacing w:after="0" w:line="149" w:lineRule="exact"/>
        <w:rPr>
          <w:sz w:val="20"/>
          <w:szCs w:val="20"/>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Trust and Recordkeeping</w:t>
      </w:r>
    </w:p>
    <w:p>
      <w:pPr>
        <w:spacing w:after="0" w:line="112" w:lineRule="exact"/>
        <w:rPr>
          <w:rFonts w:ascii="Arial" w:cs="Arial" w:eastAsia="Arial" w:hAnsi="Arial"/>
          <w:sz w:val="18"/>
          <w:szCs w:val="18"/>
          <w:b w:val="1"/>
          <w:bCs w:val="1"/>
          <w:i w:val="1"/>
          <w:iCs w:val="1"/>
          <w:color w:val="auto"/>
        </w:rPr>
      </w:pPr>
    </w:p>
    <w:p>
      <w:pPr>
        <w:ind w:left="440" w:right="180"/>
        <w:spacing w:after="0" w:line="262"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and Fidelity Management Trust Company (the “Trustee”) established a trust for investment purposes as part of the Plan. The Trustee is also the Plan’s recordkeeper.</w:t>
      </w:r>
    </w:p>
    <w:p>
      <w:pPr>
        <w:spacing w:after="0" w:line="120" w:lineRule="exact"/>
        <w:rPr>
          <w:rFonts w:ascii="Arial" w:cs="Arial" w:eastAsia="Arial" w:hAnsi="Arial"/>
          <w:sz w:val="18"/>
          <w:szCs w:val="18"/>
          <w:b w:val="1"/>
          <w:bCs w:val="1"/>
          <w:i w:val="1"/>
          <w:iCs w:val="1"/>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Investment Options</w:t>
      </w:r>
    </w:p>
    <w:p>
      <w:pPr>
        <w:spacing w:after="0" w:line="112" w:lineRule="exact"/>
        <w:rPr>
          <w:rFonts w:ascii="Arial" w:cs="Arial" w:eastAsia="Arial" w:hAnsi="Arial"/>
          <w:sz w:val="18"/>
          <w:szCs w:val="18"/>
          <w:b w:val="1"/>
          <w:bCs w:val="1"/>
          <w:i w:val="1"/>
          <w:iCs w:val="1"/>
          <w:color w:val="auto"/>
        </w:rPr>
      </w:pPr>
    </w:p>
    <w:p>
      <w:pPr>
        <w:ind w:left="440" w:right="40"/>
        <w:spacing w:after="0" w:line="254" w:lineRule="auto"/>
        <w:rPr>
          <w:rFonts w:ascii="Arial" w:cs="Arial" w:eastAsia="Arial" w:hAnsi="Arial"/>
          <w:sz w:val="18"/>
          <w:szCs w:val="18"/>
          <w:b w:val="1"/>
          <w:bCs w:val="1"/>
          <w:i w:val="1"/>
          <w:iCs w:val="1"/>
          <w:color w:val="auto"/>
        </w:rPr>
      </w:pPr>
      <w:r>
        <w:rPr>
          <w:rFonts w:ascii="Arial" w:cs="Arial" w:eastAsia="Arial" w:hAnsi="Arial"/>
          <w:sz w:val="18"/>
          <w:szCs w:val="18"/>
          <w:color w:val="auto"/>
        </w:rPr>
        <w:t>Participants have the option of investing their contributions and the Company’s matching and nonelective contributions among one or all of the available investment options offered by the Plan. Generally, participants may transfer some or all of the balances out of any fund into one or any combination of the other funds at any time. A self-directed brokerage account option is also available to allow participants to select investment options not specifically offered by the Plan.</w:t>
      </w:r>
    </w:p>
    <w:p>
      <w:pPr>
        <w:spacing w:after="0" w:line="74" w:lineRule="exact"/>
        <w:rPr>
          <w:rFonts w:ascii="Arial" w:cs="Arial" w:eastAsia="Arial" w:hAnsi="Arial"/>
          <w:sz w:val="18"/>
          <w:szCs w:val="18"/>
          <w:b w:val="1"/>
          <w:bCs w:val="1"/>
          <w:i w:val="1"/>
          <w:iCs w:val="1"/>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Vesting</w:t>
      </w:r>
    </w:p>
    <w:p>
      <w:pPr>
        <w:spacing w:after="0" w:line="112" w:lineRule="exact"/>
        <w:rPr>
          <w:rFonts w:ascii="Arial" w:cs="Arial" w:eastAsia="Arial" w:hAnsi="Arial"/>
          <w:sz w:val="18"/>
          <w:szCs w:val="18"/>
          <w:b w:val="1"/>
          <w:bCs w:val="1"/>
          <w:i w:val="1"/>
          <w:iCs w:val="1"/>
          <w:color w:val="auto"/>
        </w:rPr>
      </w:pPr>
    </w:p>
    <w:p>
      <w:pPr>
        <w:ind w:left="440" w:right="100"/>
        <w:spacing w:after="0" w:line="256" w:lineRule="auto"/>
        <w:rPr>
          <w:rFonts w:ascii="Arial" w:cs="Arial" w:eastAsia="Arial" w:hAnsi="Arial"/>
          <w:sz w:val="18"/>
          <w:szCs w:val="18"/>
          <w:b w:val="1"/>
          <w:bCs w:val="1"/>
          <w:i w:val="1"/>
          <w:iCs w:val="1"/>
          <w:color w:val="auto"/>
        </w:rPr>
      </w:pPr>
      <w:r>
        <w:rPr>
          <w:rFonts w:ascii="Arial" w:cs="Arial" w:eastAsia="Arial" w:hAnsi="Arial"/>
          <w:sz w:val="18"/>
          <w:szCs w:val="18"/>
          <w:color w:val="auto"/>
        </w:rPr>
        <w:t>Participants are immediately vested in their elective contributions and Company Safe Harbor Matching Contributions, plus actual earnings thereon. Eligible participants become vested in any balance of their Company nonelective contributions upon three years of service (or age 55 if active, if earlier).</w:t>
      </w:r>
    </w:p>
    <w:p>
      <w:pPr>
        <w:spacing w:after="0" w:line="125" w:lineRule="exact"/>
        <w:rPr>
          <w:rFonts w:ascii="Arial" w:cs="Arial" w:eastAsia="Arial" w:hAnsi="Arial"/>
          <w:sz w:val="18"/>
          <w:szCs w:val="18"/>
          <w:b w:val="1"/>
          <w:bCs w:val="1"/>
          <w:i w:val="1"/>
          <w:iCs w:val="1"/>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Payment of Benefits and Forfeitures</w:t>
      </w:r>
    </w:p>
    <w:p>
      <w:pPr>
        <w:spacing w:after="0" w:line="112" w:lineRule="exact"/>
        <w:rPr>
          <w:rFonts w:ascii="Arial" w:cs="Arial" w:eastAsia="Arial" w:hAnsi="Arial"/>
          <w:sz w:val="18"/>
          <w:szCs w:val="18"/>
          <w:b w:val="1"/>
          <w:bCs w:val="1"/>
          <w:i w:val="1"/>
          <w:iCs w:val="1"/>
          <w:color w:val="auto"/>
        </w:rPr>
      </w:pPr>
    </w:p>
    <w:p>
      <w:pPr>
        <w:ind w:left="440"/>
        <w:spacing w:after="0" w:line="252" w:lineRule="auto"/>
        <w:rPr>
          <w:rFonts w:ascii="Arial" w:cs="Arial" w:eastAsia="Arial" w:hAnsi="Arial"/>
          <w:sz w:val="18"/>
          <w:szCs w:val="18"/>
          <w:b w:val="1"/>
          <w:bCs w:val="1"/>
          <w:i w:val="1"/>
          <w:iCs w:val="1"/>
          <w:color w:val="auto"/>
        </w:rPr>
      </w:pPr>
      <w:r>
        <w:rPr>
          <w:rFonts w:ascii="Arial" w:cs="Arial" w:eastAsia="Arial" w:hAnsi="Arial"/>
          <w:sz w:val="18"/>
          <w:szCs w:val="18"/>
          <w:color w:val="auto"/>
        </w:rPr>
        <w:t>Upon termination of service, death, disability or attainment of age 59½, a participant may elect to immediately receive a lump sum distribution equal to the vested interest of his or her account. Participants may, upon termination, elect to defer their lump sum distribution or receive annual installments. If a participant is not fully vested in the Company’s nonelective contributions to his or her account on the date of termination of employment, the nonvested portion is forfeited. Forfeitures are used to pay certain administrative expenses of the Plan and to reduce future Company contributions to the Plan. During 2018 and 2017, forfeitures of $262,000 and $2,389,000, respectively, were used to pay certain administrative expenses of the Plan and to reduce Company contributions. The forfeited balances held in the Plan as of December 31, 2018 and 2017, were $2,138,000 and $1,477,000, respectively.</w:t>
      </w:r>
    </w:p>
    <w:p>
      <w:pPr>
        <w:spacing w:after="0" w:line="130" w:lineRule="exact"/>
        <w:rPr>
          <w:rFonts w:ascii="Arial" w:cs="Arial" w:eastAsia="Arial" w:hAnsi="Arial"/>
          <w:sz w:val="18"/>
          <w:szCs w:val="18"/>
          <w:b w:val="1"/>
          <w:bCs w:val="1"/>
          <w:i w:val="1"/>
          <w:iCs w:val="1"/>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Administrative Expenses</w:t>
      </w:r>
    </w:p>
    <w:p>
      <w:pPr>
        <w:spacing w:after="0" w:line="112" w:lineRule="exact"/>
        <w:rPr>
          <w:rFonts w:ascii="Arial" w:cs="Arial" w:eastAsia="Arial" w:hAnsi="Arial"/>
          <w:sz w:val="18"/>
          <w:szCs w:val="18"/>
          <w:b w:val="1"/>
          <w:bCs w:val="1"/>
          <w:i w:val="1"/>
          <w:iCs w:val="1"/>
          <w:color w:val="auto"/>
        </w:rPr>
      </w:pPr>
    </w:p>
    <w:p>
      <w:pPr>
        <w:ind w:left="440" w:right="200"/>
        <w:spacing w:after="0" w:line="253" w:lineRule="auto"/>
        <w:rPr>
          <w:rFonts w:ascii="Arial" w:cs="Arial" w:eastAsia="Arial" w:hAnsi="Arial"/>
          <w:sz w:val="18"/>
          <w:szCs w:val="18"/>
          <w:b w:val="1"/>
          <w:bCs w:val="1"/>
          <w:i w:val="1"/>
          <w:iCs w:val="1"/>
          <w:color w:val="auto"/>
        </w:rPr>
      </w:pPr>
      <w:r>
        <w:rPr>
          <w:rFonts w:ascii="Arial" w:cs="Arial" w:eastAsia="Arial" w:hAnsi="Arial"/>
          <w:sz w:val="18"/>
          <w:szCs w:val="18"/>
          <w:color w:val="auto"/>
        </w:rPr>
        <w:t>Certain Plan administrative expenses are paid by the Trustee out of the assets of the Plan and constitute a charge upon the respective investment funds or upon the individual participants’ accounts while fees associated with self-directed brokerage accounts are paid by the participants. These investment-related expenses are included in net depreciation in fair value of investments. Certain other Plan expenses may be paid by the Plan from the forfeitures balance. Administrative expenses paid by the Company are excluded from these financial statements.</w:t>
      </w:r>
    </w:p>
    <w:p>
      <w:pPr>
        <w:spacing w:after="0" w:line="129" w:lineRule="exact"/>
        <w:rPr>
          <w:rFonts w:ascii="Arial" w:cs="Arial" w:eastAsia="Arial" w:hAnsi="Arial"/>
          <w:sz w:val="18"/>
          <w:szCs w:val="18"/>
          <w:b w:val="1"/>
          <w:bCs w:val="1"/>
          <w:i w:val="1"/>
          <w:iCs w:val="1"/>
          <w:color w:val="auto"/>
        </w:rPr>
      </w:pPr>
    </w:p>
    <w:p>
      <w:pPr>
        <w:ind w:left="440" w:hanging="440"/>
        <w:spacing w:after="0"/>
        <w:tabs>
          <w:tab w:leader="none" w:pos="440" w:val="left"/>
        </w:tabs>
        <w:numPr>
          <w:ilvl w:val="0"/>
          <w:numId w:val="5"/>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Withdrawals and Loans</w:t>
      </w:r>
    </w:p>
    <w:p>
      <w:pPr>
        <w:spacing w:after="0" w:line="112" w:lineRule="exact"/>
        <w:rPr>
          <w:rFonts w:ascii="Arial" w:cs="Arial" w:eastAsia="Arial" w:hAnsi="Arial"/>
          <w:sz w:val="18"/>
          <w:szCs w:val="18"/>
          <w:b w:val="1"/>
          <w:bCs w:val="1"/>
          <w:i w:val="1"/>
          <w:iCs w:val="1"/>
          <w:color w:val="auto"/>
        </w:rPr>
      </w:pPr>
    </w:p>
    <w:p>
      <w:pPr>
        <w:ind w:left="440" w:right="100"/>
        <w:spacing w:after="0" w:line="252" w:lineRule="auto"/>
        <w:rPr>
          <w:rFonts w:ascii="Arial" w:cs="Arial" w:eastAsia="Arial" w:hAnsi="Arial"/>
          <w:sz w:val="18"/>
          <w:szCs w:val="18"/>
          <w:b w:val="1"/>
          <w:bCs w:val="1"/>
          <w:i w:val="1"/>
          <w:iCs w:val="1"/>
          <w:color w:val="auto"/>
        </w:rPr>
      </w:pPr>
      <w:r>
        <w:rPr>
          <w:rFonts w:ascii="Arial" w:cs="Arial" w:eastAsia="Arial" w:hAnsi="Arial"/>
          <w:sz w:val="18"/>
          <w:szCs w:val="18"/>
          <w:color w:val="auto"/>
        </w:rPr>
        <w:t>Subject to income taxation and the Internal Revenue Service (“IRS”) penalties, the Plan allows participants to make in-service and hardship cash withdrawal of some or all of their vested account balances (including the balances of self-directed brokerage accounts). Eligible participants may also receive money from the Plan in the form of loans. The minimum that may be borrowed is $1,000. The maximum that may be borrowed is the lesser of $50,000, minus the highest outstanding loan balance during the one-year period ending on the day before the loan is made, or 50% of the participant’s vested account balance. Loans, which are secured by the participant’s vested account balance, in general must be repaid over a time period not to exceed 60 months with exception if the participant uses the loan to purchase a primary residence. Loans bear interest at a reasonable rate as determined by the EBC. A participant may have no more than two loans outstanding at any one time.</w:t>
      </w:r>
    </w:p>
    <w:p>
      <w:pPr>
        <w:spacing w:after="0" w:line="220" w:lineRule="exact"/>
        <w:rPr>
          <w:sz w:val="20"/>
          <w:szCs w:val="20"/>
          <w:color w:val="auto"/>
        </w:rPr>
      </w:pPr>
    </w:p>
    <w:p>
      <w:pPr>
        <w:jc w:val="center"/>
        <w:ind w:right="34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880"/>
          </w:cols>
          <w:pgMar w:left="680" w:top="463" w:right="339" w:bottom="1440" w:gutter="0" w:footer="0" w:header="0"/>
        </w:sectPr>
      </w:pPr>
    </w:p>
    <w:bookmarkStart w:id="7" w:name="page8"/>
    <w:bookmarkEnd w:id="7"/>
    <w:p>
      <w:pPr>
        <w:ind w:left="880" w:hanging="440"/>
        <w:spacing w:after="0"/>
        <w:tabs>
          <w:tab w:leader="none" w:pos="880" w:val="left"/>
        </w:tabs>
        <w:numPr>
          <w:ilvl w:val="0"/>
          <w:numId w:val="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Plan Termination</w:t>
      </w:r>
    </w:p>
    <w:p>
      <w:pPr>
        <w:spacing w:after="0" w:line="112" w:lineRule="exact"/>
        <w:rPr>
          <w:rFonts w:ascii="Arial" w:cs="Arial" w:eastAsia="Arial" w:hAnsi="Arial"/>
          <w:sz w:val="18"/>
          <w:szCs w:val="18"/>
          <w:b w:val="1"/>
          <w:bCs w:val="1"/>
          <w:i w:val="1"/>
          <w:iCs w:val="1"/>
          <w:color w:val="auto"/>
        </w:rPr>
      </w:pPr>
    </w:p>
    <w:p>
      <w:pPr>
        <w:ind w:left="880" w:right="100"/>
        <w:spacing w:after="0" w:line="254"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Company has the right under the Plan to discontinue its contributions at any time and to terminate the Plan (“full termination”) subject to the provisions of the Plan and ERISA but has not expressed any intent to do so. In the event of full termination or termination with respect to a group or class of participants (“partial termination”), the unvested portion of Company contributions for participants subject to such full termination or partial termination will become fully vested.</w:t>
      </w:r>
    </w:p>
    <w:p>
      <w:pPr>
        <w:spacing w:after="0" w:line="128"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Participant Accounts</w:t>
      </w:r>
    </w:p>
    <w:p>
      <w:pPr>
        <w:spacing w:after="0" w:line="112" w:lineRule="exact"/>
        <w:rPr>
          <w:rFonts w:ascii="Arial" w:cs="Arial" w:eastAsia="Arial" w:hAnsi="Arial"/>
          <w:sz w:val="18"/>
          <w:szCs w:val="18"/>
          <w:b w:val="1"/>
          <w:bCs w:val="1"/>
          <w:i w:val="1"/>
          <w:iCs w:val="1"/>
          <w:color w:val="auto"/>
        </w:rPr>
      </w:pPr>
    </w:p>
    <w:p>
      <w:pPr>
        <w:ind w:left="880" w:right="100"/>
        <w:spacing w:after="0" w:line="254" w:lineRule="auto"/>
        <w:rPr>
          <w:rFonts w:ascii="Arial" w:cs="Arial" w:eastAsia="Arial" w:hAnsi="Arial"/>
          <w:sz w:val="18"/>
          <w:szCs w:val="18"/>
          <w:b w:val="1"/>
          <w:bCs w:val="1"/>
          <w:i w:val="1"/>
          <w:iCs w:val="1"/>
          <w:color w:val="auto"/>
        </w:rPr>
      </w:pPr>
      <w:r>
        <w:rPr>
          <w:rFonts w:ascii="Arial" w:cs="Arial" w:eastAsia="Arial" w:hAnsi="Arial"/>
          <w:sz w:val="18"/>
          <w:szCs w:val="18"/>
          <w:color w:val="auto"/>
        </w:rPr>
        <w:t>A separate account is maintained for each participant. Each participant’s account is credited with the participant’s contributions, the Company’s contributions and allocations of Plan earnings or losses and certain administrative expenses. Allocations are based on participant earnings or account balances. The benefit to which a participant is entitled is the benefit that can be provided from the participant’s vested balance.</w:t>
      </w:r>
    </w:p>
    <w:p>
      <w:pPr>
        <w:spacing w:after="0" w:line="128"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6"/>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Transfers to the Plan</w:t>
      </w:r>
    </w:p>
    <w:p>
      <w:pPr>
        <w:spacing w:after="0" w:line="112" w:lineRule="exact"/>
        <w:rPr>
          <w:rFonts w:ascii="Arial" w:cs="Arial" w:eastAsia="Arial" w:hAnsi="Arial"/>
          <w:sz w:val="18"/>
          <w:szCs w:val="18"/>
          <w:b w:val="1"/>
          <w:bCs w:val="1"/>
          <w:i w:val="1"/>
          <w:iCs w:val="1"/>
          <w:color w:val="auto"/>
        </w:rPr>
      </w:pPr>
    </w:p>
    <w:p>
      <w:pPr>
        <w:ind w:left="880" w:right="140"/>
        <w:spacing w:after="0" w:line="254" w:lineRule="auto"/>
        <w:rPr>
          <w:rFonts w:ascii="Arial" w:cs="Arial" w:eastAsia="Arial" w:hAnsi="Arial"/>
          <w:sz w:val="18"/>
          <w:szCs w:val="18"/>
          <w:b w:val="1"/>
          <w:bCs w:val="1"/>
          <w:i w:val="1"/>
          <w:iCs w:val="1"/>
          <w:color w:val="auto"/>
        </w:rPr>
      </w:pPr>
      <w:r>
        <w:rPr>
          <w:rFonts w:ascii="Arial" w:cs="Arial" w:eastAsia="Arial" w:hAnsi="Arial"/>
          <w:sz w:val="18"/>
          <w:szCs w:val="18"/>
          <w:color w:val="auto"/>
        </w:rPr>
        <w:t>In conjunction with the Merger, plan assets of the Technip U.S. Plan, Technip Umbilicals Plan, Forsys Subsea Plan, and notes receivable from participants of $440,035,000, $9,853,000, $2,698,000, and $4,517,000, respectively, were merged into the Plan effective December 29, 2017, and are included in Transfers to the Plan in the accompanying Statements of Changes in Net Assets Available for Benefits. There were no merged balances in 2018.</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SUMMARY OF SIGNIFICANT ACCOUNTING POLICIES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are the significant accounting policies followed by the Plan:</w:t>
      </w:r>
    </w:p>
    <w:p>
      <w:pPr>
        <w:spacing w:after="0" w:line="149" w:lineRule="exact"/>
        <w:rPr>
          <w:sz w:val="20"/>
          <w:szCs w:val="20"/>
          <w:color w:val="auto"/>
        </w:rPr>
      </w:pPr>
    </w:p>
    <w:p>
      <w:pPr>
        <w:ind w:left="880" w:hanging="440"/>
        <w:spacing w:after="0"/>
        <w:tabs>
          <w:tab w:leader="none" w:pos="880" w:val="left"/>
        </w:tabs>
        <w:numPr>
          <w:ilvl w:val="0"/>
          <w:numId w:val="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Basis of Accounting</w:t>
      </w:r>
    </w:p>
    <w:p>
      <w:pPr>
        <w:spacing w:after="0" w:line="112" w:lineRule="exact"/>
        <w:rPr>
          <w:rFonts w:ascii="Arial" w:cs="Arial" w:eastAsia="Arial" w:hAnsi="Arial"/>
          <w:sz w:val="18"/>
          <w:szCs w:val="18"/>
          <w:b w:val="1"/>
          <w:bCs w:val="1"/>
          <w:i w:val="1"/>
          <w:iCs w:val="1"/>
          <w:color w:val="auto"/>
        </w:rPr>
      </w:pPr>
    </w:p>
    <w:p>
      <w:pPr>
        <w:ind w:left="880" w:right="160"/>
        <w:spacing w:after="0" w:line="262"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Plan’s financial statements are prepared on the accrual basis of accounting in accordance with generally accepted accounting principles in the United States of America (“GAAP”).</w:t>
      </w:r>
    </w:p>
    <w:p>
      <w:pPr>
        <w:spacing w:after="0" w:line="120"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Use of Estimates</w:t>
      </w:r>
    </w:p>
    <w:p>
      <w:pPr>
        <w:spacing w:after="0" w:line="112" w:lineRule="exact"/>
        <w:rPr>
          <w:rFonts w:ascii="Arial" w:cs="Arial" w:eastAsia="Arial" w:hAnsi="Arial"/>
          <w:sz w:val="18"/>
          <w:szCs w:val="18"/>
          <w:b w:val="1"/>
          <w:bCs w:val="1"/>
          <w:i w:val="1"/>
          <w:iCs w:val="1"/>
          <w:color w:val="auto"/>
        </w:rPr>
      </w:pPr>
    </w:p>
    <w:p>
      <w:pPr>
        <w:jc w:val="both"/>
        <w:ind w:left="880" w:right="60"/>
        <w:spacing w:after="0" w:line="256" w:lineRule="auto"/>
        <w:rPr>
          <w:rFonts w:ascii="Arial" w:cs="Arial" w:eastAsia="Arial" w:hAnsi="Arial"/>
          <w:sz w:val="18"/>
          <w:szCs w:val="18"/>
          <w:b w:val="1"/>
          <w:bCs w:val="1"/>
          <w:i w:val="1"/>
          <w:iCs w:val="1"/>
          <w:color w:val="auto"/>
        </w:rPr>
      </w:pPr>
      <w:r>
        <w:rPr>
          <w:rFonts w:ascii="Arial" w:cs="Arial" w:eastAsia="Arial" w:hAnsi="Arial"/>
          <w:sz w:val="18"/>
          <w:szCs w:val="18"/>
          <w:color w:val="auto"/>
        </w:rPr>
        <w:t>The preparation of financial statements in conformity with GAAP requires management of the Plan administrator to make estimates and assumptions that affect the reported amounts of assets, liabilities, and changes therein and disclosure of contingent assets and liabilities at the date of the financial statements. Actual results could differ from these estimates.</w:t>
      </w:r>
    </w:p>
    <w:p>
      <w:pPr>
        <w:spacing w:after="0" w:line="125"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Investment Valuation and Income Recognition</w:t>
      </w:r>
    </w:p>
    <w:p>
      <w:pPr>
        <w:spacing w:after="0" w:line="112" w:lineRule="exact"/>
        <w:rPr>
          <w:rFonts w:ascii="Arial" w:cs="Arial" w:eastAsia="Arial" w:hAnsi="Arial"/>
          <w:sz w:val="18"/>
          <w:szCs w:val="18"/>
          <w:b w:val="1"/>
          <w:bCs w:val="1"/>
          <w:i w:val="1"/>
          <w:iCs w:val="1"/>
          <w:color w:val="auto"/>
        </w:rPr>
      </w:pPr>
    </w:p>
    <w:p>
      <w:pPr>
        <w:ind w:left="880" w:right="900"/>
        <w:spacing w:after="0" w:line="262" w:lineRule="auto"/>
        <w:rPr>
          <w:rFonts w:ascii="Arial" w:cs="Arial" w:eastAsia="Arial" w:hAnsi="Arial"/>
          <w:sz w:val="18"/>
          <w:szCs w:val="18"/>
          <w:b w:val="1"/>
          <w:bCs w:val="1"/>
          <w:i w:val="1"/>
          <w:iCs w:val="1"/>
          <w:color w:val="auto"/>
        </w:rPr>
      </w:pPr>
      <w:r>
        <w:rPr>
          <w:rFonts w:ascii="Arial" w:cs="Arial" w:eastAsia="Arial" w:hAnsi="Arial"/>
          <w:sz w:val="18"/>
          <w:szCs w:val="18"/>
          <w:color w:val="auto"/>
        </w:rPr>
        <w:t>With the exception of the Plan’s fully benefit-responsive investment contracts that are valued at contract value, the Plan’s investments are stated at fair value. See Note 4 for discussion of fair value measurements.</w:t>
      </w:r>
    </w:p>
    <w:p>
      <w:pPr>
        <w:spacing w:after="0" w:line="61" w:lineRule="exact"/>
        <w:rPr>
          <w:rFonts w:ascii="Arial" w:cs="Arial" w:eastAsia="Arial" w:hAnsi="Arial"/>
          <w:sz w:val="18"/>
          <w:szCs w:val="18"/>
          <w:b w:val="1"/>
          <w:bCs w:val="1"/>
          <w:i w:val="1"/>
          <w:iCs w:val="1"/>
          <w:color w:val="auto"/>
        </w:rPr>
      </w:pPr>
    </w:p>
    <w:p>
      <w:pPr>
        <w:ind w:left="880" w:right="60"/>
        <w:spacing w:after="0" w:line="253" w:lineRule="auto"/>
        <w:rPr>
          <w:rFonts w:ascii="Arial" w:cs="Arial" w:eastAsia="Arial" w:hAnsi="Arial"/>
          <w:sz w:val="18"/>
          <w:szCs w:val="18"/>
          <w:b w:val="1"/>
          <w:bCs w:val="1"/>
          <w:i w:val="1"/>
          <w:iCs w:val="1"/>
          <w:color w:val="auto"/>
        </w:rPr>
      </w:pPr>
      <w:r>
        <w:rPr>
          <w:rFonts w:ascii="Arial" w:cs="Arial" w:eastAsia="Arial" w:hAnsi="Arial"/>
          <w:sz w:val="18"/>
          <w:szCs w:val="18"/>
          <w:color w:val="auto"/>
        </w:rPr>
        <w:t>Purchases and sales of securities are recorded on a trade date basis. The Plan presents in the Statements of Changes in Net Assets Available for Benefits the net depreciation in the fair value of its investments, which consists of the realized gains and losses on investments bought and sold during the year, and the unrealized gains and losses on investments held during the year. Expenses associated with the Plan’s investment portfolio are included in net depreciation in fair value of investments. Dividends are recorded on the record date. Interest income is recorded on the accrual basis.</w:t>
      </w:r>
    </w:p>
    <w:p>
      <w:pPr>
        <w:spacing w:after="0" w:line="129"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7"/>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Fully Benefit-Responsive Investment Contracts</w:t>
      </w:r>
    </w:p>
    <w:p>
      <w:pPr>
        <w:spacing w:after="0" w:line="112" w:lineRule="exact"/>
        <w:rPr>
          <w:rFonts w:ascii="Arial" w:cs="Arial" w:eastAsia="Arial" w:hAnsi="Arial"/>
          <w:sz w:val="18"/>
          <w:szCs w:val="18"/>
          <w:b w:val="1"/>
          <w:bCs w:val="1"/>
          <w:i w:val="1"/>
          <w:iCs w:val="1"/>
          <w:color w:val="auto"/>
        </w:rPr>
      </w:pPr>
    </w:p>
    <w:p>
      <w:pPr>
        <w:ind w:left="880"/>
        <w:spacing w:after="0" w:line="252" w:lineRule="auto"/>
        <w:rPr>
          <w:rFonts w:ascii="Arial" w:cs="Arial" w:eastAsia="Arial" w:hAnsi="Arial"/>
          <w:sz w:val="18"/>
          <w:szCs w:val="18"/>
          <w:b w:val="1"/>
          <w:bCs w:val="1"/>
          <w:i w:val="1"/>
          <w:iCs w:val="1"/>
          <w:color w:val="auto"/>
        </w:rPr>
      </w:pPr>
      <w:r>
        <w:rPr>
          <w:rFonts w:ascii="Arial" w:cs="Arial" w:eastAsia="Arial" w:hAnsi="Arial"/>
          <w:sz w:val="18"/>
          <w:szCs w:val="18"/>
          <w:color w:val="auto"/>
        </w:rPr>
        <w:t>Fully benefit-responsive investment contracts held by a defined contribution plan are required to be reported at contract value. Contract value is the relevant measure for fully benefit-responsive investments contracts because it is the amount participants normally would receive if they were to initiate permitted transactions. At December 31, 2018 and 2017, the Plan was invested in two stable value funds, the Fidelity Managed Income Portfolio Class 1 Fund (“Fidelity MIP Fund”) and the Fidelity Managed Income Portfolio II Class 2 Fund (“Fidelity MIP II Fund”). Underlying investments of both Fidelity MIP Fund and Fidelity MIP II Fund comprise of fully benefit-responsive investment contracts. The contract value of the Fidelity MIP Fund was $34,000 and $457,000 as of December 31, 2018 and</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00"/>
          </w:cols>
          <w:pgMar w:left="240" w:top="522" w:right="259" w:bottom="1440" w:gutter="0" w:footer="0" w:header="0"/>
        </w:sectPr>
      </w:pPr>
    </w:p>
    <w:bookmarkStart w:id="8" w:name="page9"/>
    <w:bookmarkEnd w:id="8"/>
    <w:p>
      <w:pPr>
        <w:ind w:left="880" w:right="60"/>
        <w:spacing w:after="0" w:line="253" w:lineRule="auto"/>
        <w:rPr>
          <w:sz w:val="20"/>
          <w:szCs w:val="20"/>
          <w:color w:val="auto"/>
        </w:rPr>
      </w:pPr>
      <w:r>
        <w:rPr>
          <w:rFonts w:ascii="Arial" w:cs="Arial" w:eastAsia="Arial" w:hAnsi="Arial"/>
          <w:sz w:val="18"/>
          <w:szCs w:val="18"/>
          <w:color w:val="auto"/>
        </w:rPr>
        <w:t>2017, respectively. The contract value of the Fidelity MIP II Fund was $67,881,000 and $63,715,000 as of December 31, 2018 and 2017, respectively. Both funds are managed income funds with an investment objective to preserve the principal investment while earning a high level of interest income. The funds seek to maintain a stable net asset value of $1 per share. The funds invest in benefit-responsive investment contracts issued by insurance companies and other financial institutions, fixed income securities, and money market funds. There are currently no redemption restrictions on these investments.</w:t>
      </w:r>
    </w:p>
    <w:p>
      <w:pPr>
        <w:spacing w:after="0" w:line="75" w:lineRule="exact"/>
        <w:rPr>
          <w:sz w:val="20"/>
          <w:szCs w:val="20"/>
          <w:color w:val="auto"/>
        </w:rPr>
      </w:pPr>
    </w:p>
    <w:p>
      <w:pPr>
        <w:ind w:left="880" w:hanging="440"/>
        <w:spacing w:after="0"/>
        <w:tabs>
          <w:tab w:leader="none" w:pos="880" w:val="left"/>
        </w:tabs>
        <w:numPr>
          <w:ilvl w:val="0"/>
          <w:numId w:val="8"/>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Notes Receivable from Participants</w:t>
      </w:r>
    </w:p>
    <w:p>
      <w:pPr>
        <w:spacing w:after="0" w:line="112" w:lineRule="exact"/>
        <w:rPr>
          <w:rFonts w:ascii="Arial" w:cs="Arial" w:eastAsia="Arial" w:hAnsi="Arial"/>
          <w:sz w:val="18"/>
          <w:szCs w:val="18"/>
          <w:b w:val="1"/>
          <w:bCs w:val="1"/>
          <w:i w:val="1"/>
          <w:iCs w:val="1"/>
          <w:color w:val="auto"/>
        </w:rPr>
      </w:pPr>
    </w:p>
    <w:p>
      <w:pPr>
        <w:jc w:val="both"/>
        <w:ind w:left="880" w:right="60"/>
        <w:spacing w:after="0" w:line="254" w:lineRule="auto"/>
        <w:rPr>
          <w:rFonts w:ascii="Arial" w:cs="Arial" w:eastAsia="Arial" w:hAnsi="Arial"/>
          <w:sz w:val="18"/>
          <w:szCs w:val="18"/>
          <w:b w:val="1"/>
          <w:bCs w:val="1"/>
          <w:i w:val="1"/>
          <w:iCs w:val="1"/>
          <w:color w:val="auto"/>
        </w:rPr>
      </w:pPr>
      <w:r>
        <w:rPr>
          <w:rFonts w:ascii="Arial" w:cs="Arial" w:eastAsia="Arial" w:hAnsi="Arial"/>
          <w:sz w:val="18"/>
          <w:szCs w:val="18"/>
          <w:color w:val="auto"/>
        </w:rPr>
        <w:t>Notes receivable from participants represents the unpaid principal balance plus any accrued but unpaid interest of participant loans. Interest income on notes receivable from participants is recorded when it is earned. No allowance for credit losses was recorded as of December 31, 2018 and 2017. If a participant ceases to make loan repayments and the Plan administrator deems the participant loan to be in default, the participant loan balance is reduced and a benefit distribution is recorded.</w:t>
      </w:r>
    </w:p>
    <w:p>
      <w:pPr>
        <w:spacing w:after="0" w:line="128" w:lineRule="exact"/>
        <w:rPr>
          <w:rFonts w:ascii="Arial" w:cs="Arial" w:eastAsia="Arial" w:hAnsi="Arial"/>
          <w:sz w:val="18"/>
          <w:szCs w:val="18"/>
          <w:b w:val="1"/>
          <w:bCs w:val="1"/>
          <w:i w:val="1"/>
          <w:iCs w:val="1"/>
          <w:color w:val="auto"/>
        </w:rPr>
      </w:pPr>
    </w:p>
    <w:p>
      <w:pPr>
        <w:ind w:left="880" w:hanging="440"/>
        <w:spacing w:after="0"/>
        <w:tabs>
          <w:tab w:leader="none" w:pos="880" w:val="left"/>
        </w:tabs>
        <w:numPr>
          <w:ilvl w:val="0"/>
          <w:numId w:val="8"/>
        </w:numPr>
        <w:rPr>
          <w:rFonts w:ascii="Arial" w:cs="Arial" w:eastAsia="Arial" w:hAnsi="Arial"/>
          <w:sz w:val="18"/>
          <w:szCs w:val="18"/>
          <w:b w:val="1"/>
          <w:bCs w:val="1"/>
          <w:i w:val="1"/>
          <w:iCs w:val="1"/>
          <w:color w:val="auto"/>
        </w:rPr>
      </w:pPr>
      <w:r>
        <w:rPr>
          <w:rFonts w:ascii="Arial" w:cs="Arial" w:eastAsia="Arial" w:hAnsi="Arial"/>
          <w:sz w:val="18"/>
          <w:szCs w:val="18"/>
          <w:b w:val="1"/>
          <w:bCs w:val="1"/>
          <w:i w:val="1"/>
          <w:iCs w:val="1"/>
          <w:color w:val="auto"/>
        </w:rPr>
        <w:t>Payment of Benefits</w:t>
      </w:r>
    </w:p>
    <w:p>
      <w:pPr>
        <w:spacing w:after="0" w:line="112" w:lineRule="exact"/>
        <w:rPr>
          <w:rFonts w:ascii="Arial" w:cs="Arial" w:eastAsia="Arial" w:hAnsi="Arial"/>
          <w:sz w:val="18"/>
          <w:szCs w:val="18"/>
          <w:b w:val="1"/>
          <w:bCs w:val="1"/>
          <w:i w:val="1"/>
          <w:iCs w:val="1"/>
          <w:color w:val="auto"/>
        </w:rPr>
      </w:pPr>
    </w:p>
    <w:p>
      <w:pPr>
        <w:ind w:left="880"/>
        <w:spacing w:after="0"/>
        <w:rPr>
          <w:rFonts w:ascii="Arial" w:cs="Arial" w:eastAsia="Arial" w:hAnsi="Arial"/>
          <w:sz w:val="18"/>
          <w:szCs w:val="18"/>
          <w:b w:val="1"/>
          <w:bCs w:val="1"/>
          <w:i w:val="1"/>
          <w:iCs w:val="1"/>
          <w:color w:val="auto"/>
        </w:rPr>
      </w:pPr>
      <w:r>
        <w:rPr>
          <w:rFonts w:ascii="Arial" w:cs="Arial" w:eastAsia="Arial" w:hAnsi="Arial"/>
          <w:sz w:val="18"/>
          <w:szCs w:val="18"/>
          <w:color w:val="auto"/>
        </w:rPr>
        <w:t>Benefit distributions to participants are recorded when paid.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PARTY-IN-INTEREST TRANSACTIONS</w:t>
      </w:r>
    </w:p>
    <w:p>
      <w:pPr>
        <w:spacing w:after="0" w:line="112" w:lineRule="exact"/>
        <w:rPr>
          <w:sz w:val="20"/>
          <w:szCs w:val="20"/>
          <w:color w:val="auto"/>
        </w:rPr>
      </w:pPr>
    </w:p>
    <w:p>
      <w:pPr>
        <w:ind w:right="160"/>
        <w:spacing w:after="0" w:line="256" w:lineRule="auto"/>
        <w:rPr>
          <w:sz w:val="20"/>
          <w:szCs w:val="20"/>
          <w:color w:val="auto"/>
        </w:rPr>
      </w:pPr>
      <w:r>
        <w:rPr>
          <w:rFonts w:ascii="Arial" w:cs="Arial" w:eastAsia="Arial" w:hAnsi="Arial"/>
          <w:sz w:val="18"/>
          <w:szCs w:val="18"/>
          <w:color w:val="auto"/>
        </w:rPr>
        <w:t>The Trustee provides certain accounting and administrative services to the Plan for which approximately $718,000 and $125,000 of expenses were charged for the years ended December 31, 2018 and 2017, respectively. Certain Plan investments, amounting to $473,451,000 and $495,459,000 at December 31, 2018 and 2017, respectively, are units of funds managed by the Trustee.</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Certain employees and officers of the Company, who may also participate in the Plan, perform administrative services to the Plan at no cost.</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A significant portion of the Plan’s assets were invested in ordinary shares of TechnipFMC (the “FTI Stock Fund”) at December 31, 2018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2017. At December 31, 2018 and 2017, the Plan held 3,228,123 FTI shares and 3,955,967 FMCTI shares, respectively, with fair value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$63,207,000 and $123,861,000, respectively, and a cost basis of $113,503,000 and $140,196,000, respectively. In March 2019, the FTI Stock</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Fund was removed from the Plan.</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FAIR VALUE MEASUREMENTS</w:t>
      </w:r>
    </w:p>
    <w:p>
      <w:pPr>
        <w:spacing w:after="0" w:line="11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Fair value is defined as the price that would be received to sell an asset in an orderly transaction between market participants at the reporting date. The fair value framework requires the categorization of assets and liabilities into three levels based upon the assumptions (inputs) used to price the assets or liabilities. Level 1 provides the most reliable measure of fair value, whereas Level 3 generally requires significant management judgment. The three levels are defined as follows:</w:t>
      </w:r>
    </w:p>
    <w:p>
      <w:pPr>
        <w:spacing w:after="0" w:line="5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Level 1</w:t>
      </w:r>
      <w:r>
        <w:rPr>
          <w:rFonts w:ascii="Arial" w:cs="Arial" w:eastAsia="Arial" w:hAnsi="Arial"/>
          <w:sz w:val="18"/>
          <w:szCs w:val="18"/>
          <w:color w:val="auto"/>
        </w:rPr>
        <w:t>: Unadjusted quoted prices in active markets for identical assets and liabilities.</w:t>
      </w:r>
    </w:p>
    <w:p>
      <w:pPr>
        <w:spacing w:after="0" w:line="90" w:lineRule="exact"/>
        <w:rPr>
          <w:sz w:val="20"/>
          <w:szCs w:val="20"/>
          <w:color w:val="auto"/>
        </w:rPr>
      </w:pPr>
    </w:p>
    <w:p>
      <w:pPr>
        <w:ind w:left="1300" w:right="280" w:hanging="647"/>
        <w:spacing w:after="0" w:line="282" w:lineRule="auto"/>
        <w:rPr>
          <w:sz w:val="20"/>
          <w:szCs w:val="20"/>
          <w:color w:val="auto"/>
        </w:rPr>
      </w:pPr>
      <w:r>
        <w:rPr>
          <w:rFonts w:ascii="Arial" w:cs="Arial" w:eastAsia="Arial" w:hAnsi="Arial"/>
          <w:sz w:val="18"/>
          <w:szCs w:val="18"/>
          <w:i w:val="1"/>
          <w:iCs w:val="1"/>
          <w:color w:val="auto"/>
        </w:rPr>
        <w:t>Level 2</w:t>
      </w:r>
      <w:r>
        <w:rPr>
          <w:rFonts w:ascii="Arial" w:cs="Arial" w:eastAsia="Arial" w:hAnsi="Arial"/>
          <w:sz w:val="18"/>
          <w:szCs w:val="18"/>
          <w:color w:val="auto"/>
        </w:rPr>
        <w:t>: Observable inputs other than quoted prices included in Level 1. For example, quoted prices for similar assets or liabilities in</w:t>
      </w:r>
      <w:r>
        <w:rPr>
          <w:rFonts w:ascii="Arial" w:cs="Arial" w:eastAsia="Arial" w:hAnsi="Arial"/>
          <w:sz w:val="18"/>
          <w:szCs w:val="18"/>
          <w:i w:val="1"/>
          <w:iCs w:val="1"/>
          <w:color w:val="auto"/>
        </w:rPr>
        <w:t xml:space="preserve"> </w:t>
      </w:r>
      <w:r>
        <w:rPr>
          <w:rFonts w:ascii="Arial" w:cs="Arial" w:eastAsia="Arial" w:hAnsi="Arial"/>
          <w:sz w:val="18"/>
          <w:szCs w:val="18"/>
          <w:color w:val="auto"/>
        </w:rPr>
        <w:t>active markets or quoted prices for identical assets or liabilities in inactive markets.</w:t>
      </w:r>
    </w:p>
    <w:p>
      <w:pPr>
        <w:spacing w:after="0" w:line="27" w:lineRule="exact"/>
        <w:rPr>
          <w:sz w:val="20"/>
          <w:szCs w:val="20"/>
          <w:color w:val="auto"/>
        </w:rPr>
      </w:pPr>
    </w:p>
    <w:p>
      <w:pPr>
        <w:ind w:left="1300" w:right="520" w:hanging="647"/>
        <w:spacing w:after="0" w:line="282" w:lineRule="auto"/>
        <w:rPr>
          <w:sz w:val="20"/>
          <w:szCs w:val="20"/>
          <w:color w:val="auto"/>
        </w:rPr>
      </w:pPr>
      <w:r>
        <w:rPr>
          <w:rFonts w:ascii="Arial" w:cs="Arial" w:eastAsia="Arial" w:hAnsi="Arial"/>
          <w:sz w:val="18"/>
          <w:szCs w:val="18"/>
          <w:i w:val="1"/>
          <w:iCs w:val="1"/>
          <w:color w:val="auto"/>
        </w:rPr>
        <w:t>Level 3</w:t>
      </w:r>
      <w:r>
        <w:rPr>
          <w:rFonts w:ascii="Arial" w:cs="Arial" w:eastAsia="Arial" w:hAnsi="Arial"/>
          <w:sz w:val="18"/>
          <w:szCs w:val="18"/>
          <w:color w:val="auto"/>
        </w:rPr>
        <w:t>: Unobservable inputs reflecting management’s own assumptions about the assumptions market participants would use in</w:t>
      </w:r>
      <w:r>
        <w:rPr>
          <w:rFonts w:ascii="Arial" w:cs="Arial" w:eastAsia="Arial" w:hAnsi="Arial"/>
          <w:sz w:val="18"/>
          <w:szCs w:val="18"/>
          <w:i w:val="1"/>
          <w:iCs w:val="1"/>
          <w:color w:val="auto"/>
        </w:rPr>
        <w:t xml:space="preserve"> </w:t>
      </w:r>
      <w:r>
        <w:rPr>
          <w:rFonts w:ascii="Arial" w:cs="Arial" w:eastAsia="Arial" w:hAnsi="Arial"/>
          <w:sz w:val="18"/>
          <w:szCs w:val="18"/>
          <w:color w:val="auto"/>
        </w:rPr>
        <w:t>pricing the asset or liability.</w:t>
      </w:r>
    </w:p>
    <w:p>
      <w:pPr>
        <w:spacing w:after="0" w:line="45"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The asset or liability’s fair value measurement level within the fair value hierarchy is based on the lowest level of any input that is significant to the fair value measurement. Valuation techniques applied maximized the use of observable inputs and minimized the use of unobservable inputs.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is a description of the valuation methodologies used for assets measured at fair value:</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Common stock and ordinary shares</w:t>
      </w:r>
      <w:r>
        <w:rPr>
          <w:rFonts w:ascii="Arial" w:cs="Arial" w:eastAsia="Arial" w:hAnsi="Arial"/>
          <w:sz w:val="18"/>
          <w:szCs w:val="18"/>
          <w:color w:val="auto"/>
        </w:rPr>
        <w:t>: Valued at the closing price reported on the active market on which the securities are traded.</w:t>
      </w:r>
    </w:p>
    <w:p>
      <w:pPr>
        <w:spacing w:after="0" w:line="90" w:lineRule="exact"/>
        <w:rPr>
          <w:sz w:val="20"/>
          <w:szCs w:val="20"/>
          <w:color w:val="auto"/>
        </w:rPr>
      </w:pPr>
    </w:p>
    <w:p>
      <w:pPr>
        <w:ind w:right="500"/>
        <w:spacing w:after="0" w:line="261" w:lineRule="auto"/>
        <w:rPr>
          <w:sz w:val="20"/>
          <w:szCs w:val="20"/>
          <w:color w:val="auto"/>
        </w:rPr>
      </w:pPr>
      <w:r>
        <w:rPr>
          <w:rFonts w:ascii="Arial" w:cs="Arial" w:eastAsia="Arial" w:hAnsi="Arial"/>
          <w:sz w:val="18"/>
          <w:szCs w:val="18"/>
          <w:i w:val="1"/>
          <w:iCs w:val="1"/>
          <w:color w:val="auto"/>
        </w:rPr>
        <w:t>Interest bearing cash</w:t>
      </w:r>
      <w:r>
        <w:rPr>
          <w:rFonts w:ascii="Arial" w:cs="Arial" w:eastAsia="Arial" w:hAnsi="Arial"/>
          <w:sz w:val="18"/>
          <w:szCs w:val="18"/>
          <w:color w:val="auto"/>
        </w:rPr>
        <w:t>: Valued at the net asset value of the shares held by the Plan at year-end, which is based on the fair value of the</w:t>
      </w:r>
      <w:r>
        <w:rPr>
          <w:rFonts w:ascii="Arial" w:cs="Arial" w:eastAsia="Arial" w:hAnsi="Arial"/>
          <w:sz w:val="18"/>
          <w:szCs w:val="18"/>
          <w:i w:val="1"/>
          <w:iCs w:val="1"/>
          <w:color w:val="auto"/>
        </w:rPr>
        <w:t xml:space="preserve"> </w:t>
      </w:r>
      <w:r>
        <w:rPr>
          <w:rFonts w:ascii="Arial" w:cs="Arial" w:eastAsia="Arial" w:hAnsi="Arial"/>
          <w:sz w:val="18"/>
          <w:szCs w:val="18"/>
          <w:color w:val="auto"/>
        </w:rPr>
        <w:t>underlying investments using information reported by the investment advisor at year-end. This category comprises one fund: Fidelity Institutional Money Market Fund. This fund represents a money market fund with the investment objective to obtain a high level of current income with the preservation of principal and</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463" w:right="239" w:bottom="1440" w:gutter="0" w:footer="0" w:header="0"/>
        </w:sectPr>
      </w:pPr>
    </w:p>
    <w:bookmarkStart w:id="9" w:name="page10"/>
    <w:bookmarkEnd w:id="9"/>
    <w:p>
      <w:pPr>
        <w:spacing w:after="0" w:line="256" w:lineRule="auto"/>
        <w:rPr>
          <w:sz w:val="20"/>
          <w:szCs w:val="20"/>
          <w:color w:val="auto"/>
        </w:rPr>
      </w:pPr>
      <w:r>
        <w:rPr>
          <w:rFonts w:ascii="Arial" w:cs="Arial" w:eastAsia="Arial" w:hAnsi="Arial"/>
          <w:sz w:val="18"/>
          <w:szCs w:val="18"/>
          <w:color w:val="auto"/>
        </w:rPr>
        <w:t>liquidity. The fund’s investment strategies include investing in U.S. dollar-denominated money market securities of domestic and foreign issuers and investing more than 25% of total assets in the financial services industries. There are currently no redemption restrictions on these investments.</w:t>
      </w:r>
    </w:p>
    <w:p>
      <w:pPr>
        <w:spacing w:after="0" w:line="67" w:lineRule="exact"/>
        <w:rPr>
          <w:sz w:val="20"/>
          <w:szCs w:val="20"/>
          <w:color w:val="auto"/>
        </w:rPr>
      </w:pPr>
    </w:p>
    <w:p>
      <w:pPr>
        <w:ind w:right="360"/>
        <w:spacing w:after="0" w:line="262" w:lineRule="auto"/>
        <w:rPr>
          <w:sz w:val="20"/>
          <w:szCs w:val="20"/>
          <w:color w:val="auto"/>
        </w:rPr>
      </w:pPr>
      <w:r>
        <w:rPr>
          <w:rFonts w:ascii="Arial" w:cs="Arial" w:eastAsia="Arial" w:hAnsi="Arial"/>
          <w:sz w:val="18"/>
          <w:szCs w:val="18"/>
          <w:color w:val="auto"/>
        </w:rPr>
        <w:t>The amount invested in this fund is based upon a target approved by the EBC, but may vary on any given business day with the amount of cash awaiting investment and with participant activity such as contributions, redemptions and withdrawals in the FTI Stock Fund.</w:t>
      </w:r>
    </w:p>
    <w:p>
      <w:pPr>
        <w:spacing w:after="0" w:line="43"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i w:val="1"/>
          <w:iCs w:val="1"/>
          <w:color w:val="auto"/>
        </w:rPr>
        <w:t>Registered investment companies</w:t>
      </w:r>
      <w:r>
        <w:rPr>
          <w:rFonts w:ascii="Arial" w:cs="Arial" w:eastAsia="Arial" w:hAnsi="Arial"/>
          <w:sz w:val="18"/>
          <w:szCs w:val="18"/>
          <w:color w:val="auto"/>
        </w:rPr>
        <w:t>: Valued at quoted market prices, which represent the net asset value of the securities held in such funds at</w:t>
      </w:r>
      <w:r>
        <w:rPr>
          <w:rFonts w:ascii="Arial" w:cs="Arial" w:eastAsia="Arial" w:hAnsi="Arial"/>
          <w:sz w:val="18"/>
          <w:szCs w:val="18"/>
          <w:i w:val="1"/>
          <w:iCs w:val="1"/>
          <w:color w:val="auto"/>
        </w:rPr>
        <w:t xml:space="preserve"> </w:t>
      </w:r>
      <w:r>
        <w:rPr>
          <w:rFonts w:ascii="Arial" w:cs="Arial" w:eastAsia="Arial" w:hAnsi="Arial"/>
          <w:sz w:val="18"/>
          <w:szCs w:val="18"/>
          <w:color w:val="auto"/>
        </w:rPr>
        <w:t>year-end.</w:t>
      </w:r>
    </w:p>
    <w:p>
      <w:pPr>
        <w:spacing w:after="0" w:line="45" w:lineRule="exact"/>
        <w:rPr>
          <w:sz w:val="20"/>
          <w:szCs w:val="20"/>
          <w:color w:val="auto"/>
        </w:rPr>
      </w:pPr>
    </w:p>
    <w:p>
      <w:pPr>
        <w:ind w:right="140"/>
        <w:spacing w:after="0" w:line="253" w:lineRule="auto"/>
        <w:rPr>
          <w:sz w:val="20"/>
          <w:szCs w:val="20"/>
          <w:color w:val="auto"/>
        </w:rPr>
      </w:pPr>
      <w:r>
        <w:rPr>
          <w:rFonts w:ascii="Arial" w:cs="Arial" w:eastAsia="Arial" w:hAnsi="Arial"/>
          <w:sz w:val="18"/>
          <w:szCs w:val="18"/>
          <w:color w:val="auto"/>
        </w:rPr>
        <w:t>The money market fund category included in registered investment companies comprises one fund: Fidelity Investments Money Market Government Portfolio Institutional Class. This fund is valued at net asset value, which approximates fair value. This portfolio represents a mutual fund with an investment objective to seek a high level of current income with the preservation of principal and liquidity. The fund normally invests at least 80% of assets in U.S. government securities and repurchase agreements for those securities. There are currently no redemption restrictions on these investments.</w:t>
      </w:r>
    </w:p>
    <w:p>
      <w:pPr>
        <w:spacing w:after="0" w:line="52" w:lineRule="exact"/>
        <w:rPr>
          <w:sz w:val="20"/>
          <w:szCs w:val="20"/>
          <w:color w:val="auto"/>
        </w:rPr>
      </w:pPr>
    </w:p>
    <w:p>
      <w:pPr>
        <w:ind w:right="240"/>
        <w:spacing w:after="0" w:line="282" w:lineRule="auto"/>
        <w:rPr>
          <w:sz w:val="20"/>
          <w:szCs w:val="20"/>
          <w:color w:val="auto"/>
        </w:rPr>
      </w:pPr>
      <w:r>
        <w:rPr>
          <w:rFonts w:ascii="Arial" w:cs="Arial" w:eastAsia="Arial" w:hAnsi="Arial"/>
          <w:sz w:val="18"/>
          <w:szCs w:val="18"/>
          <w:i w:val="1"/>
          <w:iCs w:val="1"/>
          <w:color w:val="auto"/>
        </w:rPr>
        <w:t xml:space="preserve">Self-directed brokerage accounts: </w:t>
      </w:r>
      <w:r>
        <w:rPr>
          <w:rFonts w:ascii="Arial" w:cs="Arial" w:eastAsia="Arial" w:hAnsi="Arial"/>
          <w:sz w:val="18"/>
          <w:szCs w:val="18"/>
          <w:color w:val="auto"/>
        </w:rPr>
        <w:t>Valued at the closing price reported on the active market on which the individual securities comprising the</w:t>
      </w:r>
      <w:r>
        <w:rPr>
          <w:rFonts w:ascii="Arial" w:cs="Arial" w:eastAsia="Arial" w:hAnsi="Arial"/>
          <w:sz w:val="18"/>
          <w:szCs w:val="18"/>
          <w:i w:val="1"/>
          <w:iCs w:val="1"/>
          <w:color w:val="auto"/>
        </w:rPr>
        <w:t xml:space="preserve"> </w:t>
      </w:r>
      <w:r>
        <w:rPr>
          <w:rFonts w:ascii="Arial" w:cs="Arial" w:eastAsia="Arial" w:hAnsi="Arial"/>
          <w:sz w:val="18"/>
          <w:szCs w:val="18"/>
          <w:color w:val="auto"/>
        </w:rPr>
        <w:t>brokerage accounts are traded.</w:t>
      </w:r>
    </w:p>
    <w:p>
      <w:pPr>
        <w:spacing w:after="0" w:line="27"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i w:val="1"/>
          <w:iCs w:val="1"/>
          <w:color w:val="auto"/>
        </w:rPr>
        <w:t xml:space="preserve">Target date funds: </w:t>
      </w:r>
      <w:r>
        <w:rPr>
          <w:rFonts w:ascii="Arial" w:cs="Arial" w:eastAsia="Arial" w:hAnsi="Arial"/>
          <w:sz w:val="18"/>
          <w:szCs w:val="18"/>
          <w:color w:val="auto"/>
        </w:rPr>
        <w:t>Valued at the quoted market price of underlying investments held by the funds at year-end. The funds are custom strategy</w:t>
      </w:r>
      <w:r>
        <w:rPr>
          <w:rFonts w:ascii="Arial" w:cs="Arial" w:eastAsia="Arial" w:hAnsi="Arial"/>
          <w:sz w:val="18"/>
          <w:szCs w:val="18"/>
          <w:i w:val="1"/>
          <w:iCs w:val="1"/>
          <w:color w:val="auto"/>
        </w:rPr>
        <w:t xml:space="preserve"> </w:t>
      </w:r>
      <w:r>
        <w:rPr>
          <w:rFonts w:ascii="Arial" w:cs="Arial" w:eastAsia="Arial" w:hAnsi="Arial"/>
          <w:sz w:val="18"/>
          <w:szCs w:val="18"/>
          <w:color w:val="auto"/>
        </w:rPr>
        <w:t>investment options comprising investments in the underlying core investment options of the Plan.</w:t>
      </w:r>
    </w:p>
    <w:p>
      <w:pPr>
        <w:spacing w:after="0" w:line="45"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The methods described above may produce a fair value calculation that may not be indicative of net realizable value or reflective of future fair values. Furthermore, while the Plan’s management believes its valuation methods are appropriate and consistent with other market participants, the use of different methodologies or assumptions to determine the fair value of certain financial instruments could result in a different estimate of fair value at the reporting date. There have been no changes in the methodologies used at December 31, 2018 and 2017.</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color w:val="auto"/>
        </w:rPr>
        <w:t>Assets measured at fair value were as follows:</w:t>
      </w:r>
    </w:p>
    <w:p>
      <w:pPr>
        <w:spacing w:after="0" w:line="213" w:lineRule="exact"/>
        <w:rPr>
          <w:sz w:val="20"/>
          <w:szCs w:val="20"/>
          <w:color w:val="auto"/>
        </w:rPr>
      </w:pPr>
    </w:p>
    <w:tbl>
      <w:tblPr>
        <w:tblLayout w:type="fixed"/>
        <w:tblInd w:w="80" w:type="dxa"/>
        <w:tblCellMar>
          <w:top w:w="0" w:type="dxa"/>
          <w:left w:w="0" w:type="dxa"/>
          <w:bottom w:w="0" w:type="dxa"/>
          <w:right w:w="0" w:type="dxa"/>
        </w:tblCellMar>
      </w:tblPr>
      <w:tr>
        <w:trPr>
          <w:trHeight w:val="196"/>
        </w:trPr>
        <w:tc>
          <w:tcPr>
            <w:tcW w:w="226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gridSpan w:val="5"/>
          </w:tcPr>
          <w:p>
            <w:pPr>
              <w:ind w:left="22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204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December 31, 2017</w:t>
            </w:r>
          </w:p>
        </w:tc>
        <w:tc>
          <w:tcPr>
            <w:tcW w:w="2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2260" w:type="dxa"/>
            <w:vAlign w:val="bottom"/>
            <w:tcBorders>
              <w:bottom w:val="single" w:sz="8" w:color="CCEEFF"/>
            </w:tcBorders>
          </w:tcPr>
          <w:p>
            <w:pPr>
              <w:ind w:left="20"/>
              <w:spacing w:after="0"/>
              <w:rPr>
                <w:sz w:val="20"/>
                <w:szCs w:val="20"/>
                <w:color w:val="auto"/>
              </w:rPr>
            </w:pPr>
            <w:r>
              <w:rPr>
                <w:rFonts w:ascii="Arial" w:cs="Arial" w:eastAsia="Arial" w:hAnsi="Arial"/>
                <w:sz w:val="14"/>
                <w:szCs w:val="14"/>
                <w:b w:val="1"/>
                <w:bCs w:val="1"/>
                <w:color w:val="auto"/>
              </w:rPr>
              <w:t>(In thousands)</w:t>
            </w:r>
          </w:p>
        </w:tc>
        <w:tc>
          <w:tcPr>
            <w:tcW w:w="2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Total</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Level 1</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Level 2</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Level 3</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1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Level 1</w:t>
            </w:r>
          </w:p>
        </w:tc>
        <w:tc>
          <w:tcPr>
            <w:tcW w:w="10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b w:val="1"/>
                <w:bCs w:val="1"/>
                <w:color w:val="auto"/>
              </w:rPr>
              <w:t>Level 2</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271"/>
        </w:trPr>
        <w:tc>
          <w:tcPr>
            <w:tcW w:w="2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Common stock</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63,207</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63,207</w:t>
            </w: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123,861</w:t>
            </w:r>
          </w:p>
        </w:tc>
        <w:tc>
          <w:tcPr>
            <w:tcW w:w="120" w:type="dxa"/>
            <w:vAlign w:val="bottom"/>
            <w:shd w:val="clear" w:color="auto" w:fill="CCEEFF"/>
          </w:tcPr>
          <w:p>
            <w:pPr>
              <w:spacing w:after="0"/>
              <w:rPr>
                <w:sz w:val="23"/>
                <w:szCs w:val="23"/>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123,861</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tcPr>
          <w:p>
            <w:pPr>
              <w:ind w:left="20"/>
              <w:spacing w:after="0"/>
              <w:rPr>
                <w:sz w:val="20"/>
                <w:szCs w:val="20"/>
                <w:color w:val="auto"/>
              </w:rPr>
            </w:pPr>
            <w:r>
              <w:rPr>
                <w:rFonts w:ascii="Arial" w:cs="Arial" w:eastAsia="Arial" w:hAnsi="Arial"/>
                <w:sz w:val="14"/>
                <w:szCs w:val="14"/>
                <w:color w:val="auto"/>
              </w:rPr>
              <w:t>Interest bearing cash</w:t>
            </w:r>
          </w:p>
        </w:tc>
        <w:tc>
          <w:tcPr>
            <w:tcW w:w="2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776</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24"/>
                <w:szCs w:val="24"/>
                <w:color w:val="auto"/>
              </w:rPr>
            </w:pP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776</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gridSpan w:val="2"/>
          </w:tcPr>
          <w:p>
            <w:pPr>
              <w:ind w:left="5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3,695</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3,695</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4"/>
        </w:trPr>
        <w:tc>
          <w:tcPr>
            <w:tcW w:w="2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Registered investment companies: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93"/>
        </w:trPr>
        <w:tc>
          <w:tcPr>
            <w:tcW w:w="22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tcPr>
          <w:p>
            <w:pPr>
              <w:ind w:left="360"/>
              <w:spacing w:after="0"/>
              <w:rPr>
                <w:sz w:val="20"/>
                <w:szCs w:val="20"/>
                <w:color w:val="auto"/>
              </w:rPr>
            </w:pPr>
            <w:r>
              <w:rPr>
                <w:rFonts w:ascii="Arial" w:cs="Arial" w:eastAsia="Arial" w:hAnsi="Arial"/>
                <w:sz w:val="14"/>
                <w:szCs w:val="14"/>
                <w:color w:val="auto"/>
              </w:rPr>
              <w:t>U.S. equity funds</w:t>
            </w:r>
          </w:p>
        </w:tc>
        <w:tc>
          <w:tcPr>
            <w:tcW w:w="2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377,697</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vMerge w:val="restart"/>
          </w:tcPr>
          <w:p>
            <w:pPr>
              <w:jc w:val="right"/>
              <w:ind w:right="68"/>
              <w:spacing w:after="0"/>
              <w:rPr>
                <w:sz w:val="20"/>
                <w:szCs w:val="20"/>
                <w:color w:val="auto"/>
              </w:rPr>
            </w:pPr>
            <w:r>
              <w:rPr>
                <w:rFonts w:ascii="Arial" w:cs="Arial" w:eastAsia="Arial" w:hAnsi="Arial"/>
                <w:sz w:val="14"/>
                <w:szCs w:val="14"/>
                <w:color w:val="auto"/>
              </w:rPr>
              <w:t>377,697</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900" w:type="dxa"/>
            <w:vAlign w:val="bottom"/>
            <w:gridSpan w:val="2"/>
          </w:tcPr>
          <w:p>
            <w:pPr>
              <w:ind w:left="5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416,411</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416,411</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87"/>
        </w:trPr>
        <w:tc>
          <w:tcPr>
            <w:tcW w:w="2260" w:type="dxa"/>
            <w:vAlign w:val="bottom"/>
          </w:tcPr>
          <w:p>
            <w:pPr>
              <w:spacing w:after="0"/>
              <w:rPr>
                <w:sz w:val="7"/>
                <w:szCs w:val="7"/>
                <w:color w:val="auto"/>
              </w:rPr>
            </w:pPr>
          </w:p>
        </w:tc>
        <w:tc>
          <w:tcPr>
            <w:tcW w:w="240" w:type="dxa"/>
            <w:vAlign w:val="bottom"/>
          </w:tcPr>
          <w:p>
            <w:pPr>
              <w:spacing w:after="0"/>
              <w:rPr>
                <w:sz w:val="7"/>
                <w:szCs w:val="7"/>
                <w:color w:val="auto"/>
              </w:rPr>
            </w:pPr>
          </w:p>
        </w:tc>
        <w:tc>
          <w:tcPr>
            <w:tcW w:w="9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91"/>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International equity funds</w:t>
            </w: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64,541</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64,541</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76,256</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76,256</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8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tcPr>
          <w:p>
            <w:pPr>
              <w:ind w:left="360"/>
              <w:spacing w:after="0"/>
              <w:rPr>
                <w:sz w:val="20"/>
                <w:szCs w:val="20"/>
                <w:color w:val="auto"/>
              </w:rPr>
            </w:pPr>
            <w:r>
              <w:rPr>
                <w:rFonts w:ascii="Arial" w:cs="Arial" w:eastAsia="Arial" w:hAnsi="Arial"/>
                <w:sz w:val="14"/>
                <w:szCs w:val="14"/>
                <w:color w:val="auto"/>
              </w:rPr>
              <w:t>Fixed income funds</w:t>
            </w:r>
          </w:p>
        </w:tc>
        <w:tc>
          <w:tcPr>
            <w:tcW w:w="2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68,719</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68,719</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900" w:type="dxa"/>
            <w:vAlign w:val="bottom"/>
            <w:gridSpan w:val="2"/>
          </w:tcPr>
          <w:p>
            <w:pPr>
              <w:ind w:left="5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73,320</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73,320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shd w:val="clear" w:color="auto" w:fill="CCEEFF"/>
          </w:tcPr>
          <w:p>
            <w:pPr>
              <w:ind w:left="360"/>
              <w:spacing w:after="0"/>
              <w:rPr>
                <w:sz w:val="20"/>
                <w:szCs w:val="20"/>
                <w:color w:val="auto"/>
              </w:rPr>
            </w:pPr>
            <w:r>
              <w:rPr>
                <w:rFonts w:ascii="Arial" w:cs="Arial" w:eastAsia="Arial" w:hAnsi="Arial"/>
                <w:sz w:val="14"/>
                <w:szCs w:val="14"/>
                <w:color w:val="auto"/>
              </w:rPr>
              <w:t>Money market fund</w:t>
            </w: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40,304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40,304</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36,538</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36,538</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shd w:val="clear" w:color="auto" w:fill="CCEEFF"/>
          </w:tcPr>
          <w:p>
            <w:pPr>
              <w:spacing w:after="0"/>
              <w:rPr>
                <w:sz w:val="8"/>
                <w:szCs w:val="8"/>
                <w:color w:val="auto"/>
              </w:rPr>
            </w:pPr>
          </w:p>
        </w:tc>
        <w:tc>
          <w:tcPr>
            <w:tcW w:w="2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60" w:type="dxa"/>
            <w:vAlign w:val="bottom"/>
            <w:shd w:val="clear" w:color="auto" w:fill="CCEEFF"/>
          </w:tcPr>
          <w:p>
            <w:pPr>
              <w:spacing w:after="0"/>
              <w:rPr>
                <w:sz w:val="8"/>
                <w:szCs w:val="8"/>
                <w:color w:val="auto"/>
              </w:rPr>
            </w:pPr>
          </w:p>
        </w:tc>
        <w:tc>
          <w:tcPr>
            <w:tcW w:w="84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0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tcPr>
          <w:p>
            <w:pPr>
              <w:ind w:left="20"/>
              <w:spacing w:after="0"/>
              <w:rPr>
                <w:sz w:val="20"/>
                <w:szCs w:val="20"/>
                <w:color w:val="auto"/>
              </w:rPr>
            </w:pPr>
            <w:r>
              <w:rPr>
                <w:rFonts w:ascii="Arial" w:cs="Arial" w:eastAsia="Arial" w:hAnsi="Arial"/>
                <w:sz w:val="14"/>
                <w:szCs w:val="14"/>
                <w:color w:val="auto"/>
              </w:rPr>
              <w:t>Self-directed brokerage accounts</w:t>
            </w:r>
          </w:p>
        </w:tc>
        <w:tc>
          <w:tcPr>
            <w:tcW w:w="240" w:type="dxa"/>
            <w:vAlign w:val="bottom"/>
          </w:tcPr>
          <w:p>
            <w:pPr>
              <w:spacing w:after="0"/>
              <w:rPr>
                <w:sz w:val="24"/>
                <w:szCs w:val="24"/>
                <w:color w:val="auto"/>
              </w:rPr>
            </w:pP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31,112</w:t>
            </w: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31,112</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900" w:type="dxa"/>
            <w:vAlign w:val="bottom"/>
            <w:gridSpan w:val="2"/>
          </w:tcPr>
          <w:p>
            <w:pPr>
              <w:ind w:left="54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24"/>
                <w:szCs w:val="24"/>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25,640</w:t>
            </w: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25,640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24"/>
                <w:szCs w:val="24"/>
                <w:color w:val="auto"/>
              </w:rPr>
            </w:pP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tcPr>
          <w:p>
            <w:pPr>
              <w:spacing w:after="0"/>
              <w:rPr>
                <w:sz w:val="8"/>
                <w:szCs w:val="8"/>
                <w:color w:val="auto"/>
              </w:rPr>
            </w:pPr>
          </w:p>
        </w:tc>
        <w:tc>
          <w:tcPr>
            <w:tcW w:w="24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Target date funds</w:t>
            </w:r>
          </w:p>
        </w:tc>
        <w:tc>
          <w:tcPr>
            <w:tcW w:w="2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377,879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60" w:type="dxa"/>
            <w:vAlign w:val="bottom"/>
            <w:gridSpan w:val="2"/>
            <w:shd w:val="clear" w:color="auto" w:fill="CCEEFF"/>
          </w:tcPr>
          <w:p>
            <w:pPr>
              <w:jc w:val="right"/>
              <w:ind w:right="26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377,879</w:t>
            </w:r>
          </w:p>
        </w:tc>
        <w:tc>
          <w:tcPr>
            <w:tcW w:w="12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00" w:type="dxa"/>
            <w:vAlign w:val="bottom"/>
            <w:gridSpan w:val="2"/>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410,497</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410,497</w:t>
            </w: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00" w:type="dxa"/>
            <w:vAlign w:val="bottom"/>
            <w:shd w:val="clear" w:color="auto" w:fill="CCEEFF"/>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93"/>
        </w:trPr>
        <w:tc>
          <w:tcPr>
            <w:tcW w:w="2260" w:type="dxa"/>
            <w:vAlign w:val="bottom"/>
            <w:shd w:val="clear" w:color="auto" w:fill="CCEEFF"/>
          </w:tcPr>
          <w:p>
            <w:pPr>
              <w:spacing w:after="0"/>
              <w:rPr>
                <w:sz w:val="8"/>
                <w:szCs w:val="8"/>
                <w:color w:val="auto"/>
              </w:rPr>
            </w:pPr>
          </w:p>
        </w:tc>
        <w:tc>
          <w:tcPr>
            <w:tcW w:w="240" w:type="dxa"/>
            <w:vAlign w:val="bottom"/>
            <w:tcBorders>
              <w:bottom w:val="single" w:sz="8" w:color="auto"/>
            </w:tcBorders>
            <w:shd w:val="clear" w:color="auto" w:fill="CCEEFF"/>
          </w:tcPr>
          <w:p>
            <w:pPr>
              <w:spacing w:after="0"/>
              <w:rPr>
                <w:sz w:val="8"/>
                <w:szCs w:val="8"/>
                <w:color w:val="auto"/>
              </w:rPr>
            </w:pPr>
          </w:p>
        </w:tc>
        <w:tc>
          <w:tcPr>
            <w:tcW w:w="920" w:type="dxa"/>
            <w:vAlign w:val="bottom"/>
            <w:tcBorders>
              <w:bottom w:val="single" w:sz="8" w:color="auto"/>
            </w:tcBorders>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tcBorders>
              <w:bottom w:val="single" w:sz="8" w:color="auto"/>
            </w:tcBorders>
            <w:shd w:val="clear" w:color="auto" w:fill="CCEEFF"/>
          </w:tcPr>
          <w:p>
            <w:pPr>
              <w:spacing w:after="0"/>
              <w:rPr>
                <w:sz w:val="8"/>
                <w:szCs w:val="8"/>
                <w:color w:val="auto"/>
              </w:rPr>
            </w:pPr>
          </w:p>
        </w:tc>
        <w:tc>
          <w:tcPr>
            <w:tcW w:w="840" w:type="dxa"/>
            <w:vAlign w:val="bottom"/>
            <w:tcBorders>
              <w:bottom w:val="single" w:sz="8" w:color="auto"/>
            </w:tcBorders>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20" w:type="dxa"/>
            <w:vAlign w:val="bottom"/>
            <w:tcBorders>
              <w:bottom w:val="single" w:sz="8" w:color="auto"/>
            </w:tcBorders>
            <w:shd w:val="clear" w:color="auto" w:fill="CCEEFF"/>
          </w:tcPr>
          <w:p>
            <w:pPr>
              <w:spacing w:after="0"/>
              <w:rPr>
                <w:sz w:val="8"/>
                <w:szCs w:val="8"/>
                <w:color w:val="auto"/>
              </w:rPr>
            </w:pPr>
          </w:p>
        </w:tc>
        <w:tc>
          <w:tcPr>
            <w:tcW w:w="820" w:type="dxa"/>
            <w:vAlign w:val="bottom"/>
            <w:tcBorders>
              <w:bottom w:val="single" w:sz="8" w:color="auto"/>
            </w:tcBorders>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200" w:type="dxa"/>
            <w:vAlign w:val="bottom"/>
            <w:tcBorders>
              <w:bottom w:val="single" w:sz="8" w:color="auto"/>
            </w:tcBorders>
            <w:shd w:val="clear" w:color="auto" w:fill="CCEEFF"/>
          </w:tcPr>
          <w:p>
            <w:pPr>
              <w:spacing w:after="0"/>
              <w:rPr>
                <w:sz w:val="8"/>
                <w:szCs w:val="8"/>
                <w:color w:val="auto"/>
              </w:rPr>
            </w:pPr>
          </w:p>
        </w:tc>
        <w:tc>
          <w:tcPr>
            <w:tcW w:w="800" w:type="dxa"/>
            <w:vAlign w:val="bottom"/>
            <w:tcBorders>
              <w:bottom w:val="single" w:sz="8" w:color="auto"/>
            </w:tcBorders>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tcBorders>
              <w:bottom w:val="single" w:sz="8" w:color="auto"/>
            </w:tcBorders>
            <w:shd w:val="clear" w:color="auto" w:fill="CCEEFF"/>
          </w:tcPr>
          <w:p>
            <w:pPr>
              <w:spacing w:after="0"/>
              <w:rPr>
                <w:sz w:val="8"/>
                <w:szCs w:val="8"/>
                <w:color w:val="auto"/>
              </w:rPr>
            </w:pPr>
          </w:p>
        </w:tc>
        <w:tc>
          <w:tcPr>
            <w:tcW w:w="820" w:type="dxa"/>
            <w:vAlign w:val="bottom"/>
            <w:tcBorders>
              <w:bottom w:val="single" w:sz="8" w:color="auto"/>
            </w:tcBorders>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160" w:type="dxa"/>
            <w:vAlign w:val="bottom"/>
            <w:tcBorders>
              <w:bottom w:val="single" w:sz="8" w:color="auto"/>
            </w:tcBorders>
            <w:shd w:val="clear" w:color="auto" w:fill="CCEEFF"/>
          </w:tcPr>
          <w:p>
            <w:pPr>
              <w:spacing w:after="0"/>
              <w:rPr>
                <w:sz w:val="8"/>
                <w:szCs w:val="8"/>
                <w:color w:val="auto"/>
              </w:rPr>
            </w:pPr>
          </w:p>
        </w:tc>
        <w:tc>
          <w:tcPr>
            <w:tcW w:w="840" w:type="dxa"/>
            <w:vAlign w:val="bottom"/>
            <w:tcBorders>
              <w:bottom w:val="single" w:sz="8" w:color="auto"/>
            </w:tcBorders>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180" w:type="dxa"/>
            <w:vAlign w:val="bottom"/>
            <w:tcBorders>
              <w:bottom w:val="single" w:sz="8" w:color="auto"/>
            </w:tcBorders>
            <w:shd w:val="clear" w:color="auto" w:fill="CCEEFF"/>
          </w:tcPr>
          <w:p>
            <w:pPr>
              <w:spacing w:after="0"/>
              <w:rPr>
                <w:sz w:val="8"/>
                <w:szCs w:val="8"/>
                <w:color w:val="auto"/>
              </w:rPr>
            </w:pPr>
          </w:p>
        </w:tc>
        <w:tc>
          <w:tcPr>
            <w:tcW w:w="820" w:type="dxa"/>
            <w:vAlign w:val="bottom"/>
            <w:tcBorders>
              <w:bottom w:val="single" w:sz="8" w:color="auto"/>
            </w:tcBorders>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200" w:type="dxa"/>
            <w:vAlign w:val="bottom"/>
            <w:tcBorders>
              <w:bottom w:val="single" w:sz="8" w:color="auto"/>
            </w:tcBorders>
            <w:shd w:val="clear" w:color="auto" w:fill="CCEEFF"/>
          </w:tcPr>
          <w:p>
            <w:pPr>
              <w:spacing w:after="0"/>
              <w:rPr>
                <w:sz w:val="8"/>
                <w:szCs w:val="8"/>
                <w:color w:val="auto"/>
              </w:rPr>
            </w:pPr>
          </w:p>
        </w:tc>
        <w:tc>
          <w:tcPr>
            <w:tcW w:w="800" w:type="dxa"/>
            <w:vAlign w:val="bottom"/>
            <w:tcBorders>
              <w:bottom w:val="single" w:sz="8" w:color="auto"/>
            </w:tcBorders>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65"/>
        </w:trPr>
        <w:tc>
          <w:tcPr>
            <w:tcW w:w="2260" w:type="dxa"/>
            <w:vAlign w:val="bottom"/>
          </w:tcPr>
          <w:p>
            <w:pPr>
              <w:ind w:left="20"/>
              <w:spacing w:after="0"/>
              <w:rPr>
                <w:sz w:val="20"/>
                <w:szCs w:val="20"/>
                <w:color w:val="auto"/>
              </w:rPr>
            </w:pPr>
            <w:r>
              <w:rPr>
                <w:rFonts w:ascii="Arial" w:cs="Arial" w:eastAsia="Arial" w:hAnsi="Arial"/>
                <w:sz w:val="14"/>
                <w:szCs w:val="14"/>
                <w:color w:val="auto"/>
              </w:rPr>
              <w:t>Total assets at fair value</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920" w:type="dxa"/>
            <w:vAlign w:val="bottom"/>
          </w:tcPr>
          <w:p>
            <w:pPr>
              <w:jc w:val="right"/>
              <w:ind w:right="68"/>
              <w:spacing w:after="0"/>
              <w:rPr>
                <w:sz w:val="20"/>
                <w:szCs w:val="20"/>
                <w:color w:val="auto"/>
              </w:rPr>
            </w:pPr>
            <w:r>
              <w:rPr>
                <w:rFonts w:ascii="Arial" w:cs="Arial" w:eastAsia="Arial" w:hAnsi="Arial"/>
                <w:sz w:val="14"/>
                <w:szCs w:val="14"/>
                <w:color w:val="auto"/>
              </w:rPr>
              <w:t>1,024,235</w:t>
            </w:r>
          </w:p>
        </w:tc>
        <w:tc>
          <w:tcPr>
            <w:tcW w:w="120" w:type="dxa"/>
            <w:vAlign w:val="bottom"/>
          </w:tcPr>
          <w:p>
            <w:pPr>
              <w:spacing w:after="0"/>
              <w:rPr>
                <w:sz w:val="23"/>
                <w:szCs w:val="23"/>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68"/>
              <w:spacing w:after="0"/>
              <w:rPr>
                <w:sz w:val="20"/>
                <w:szCs w:val="20"/>
                <w:color w:val="auto"/>
              </w:rPr>
            </w:pPr>
            <w:r>
              <w:rPr>
                <w:rFonts w:ascii="Arial" w:cs="Arial" w:eastAsia="Arial" w:hAnsi="Arial"/>
                <w:sz w:val="14"/>
                <w:szCs w:val="14"/>
                <w:color w:val="auto"/>
              </w:rPr>
              <w:t>605,276</w:t>
            </w:r>
          </w:p>
        </w:tc>
        <w:tc>
          <w:tcPr>
            <w:tcW w:w="120" w:type="dxa"/>
            <w:vAlign w:val="bottom"/>
          </w:tcPr>
          <w:p>
            <w:pPr>
              <w:spacing w:after="0"/>
              <w:rPr>
                <w:sz w:val="23"/>
                <w:szCs w:val="23"/>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68"/>
              <w:spacing w:after="0"/>
              <w:rPr>
                <w:sz w:val="20"/>
                <w:szCs w:val="20"/>
                <w:color w:val="auto"/>
              </w:rPr>
            </w:pPr>
            <w:r>
              <w:rPr>
                <w:rFonts w:ascii="Arial" w:cs="Arial" w:eastAsia="Arial" w:hAnsi="Arial"/>
                <w:sz w:val="14"/>
                <w:szCs w:val="14"/>
                <w:color w:val="auto"/>
              </w:rPr>
              <w:t>418,959</w:t>
            </w:r>
          </w:p>
        </w:tc>
        <w:tc>
          <w:tcPr>
            <w:tcW w:w="120" w:type="dxa"/>
            <w:vAlign w:val="bottom"/>
          </w:tcPr>
          <w:p>
            <w:pPr>
              <w:spacing w:after="0"/>
              <w:rPr>
                <w:sz w:val="23"/>
                <w:szCs w:val="23"/>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900" w:type="dxa"/>
            <w:vAlign w:val="bottom"/>
            <w:gridSpan w:val="2"/>
          </w:tcPr>
          <w:p>
            <w:pPr>
              <w:ind w:left="54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1,166,218</w:t>
            </w:r>
          </w:p>
        </w:tc>
        <w:tc>
          <w:tcPr>
            <w:tcW w:w="120" w:type="dxa"/>
            <w:vAlign w:val="bottom"/>
          </w:tcPr>
          <w:p>
            <w:pPr>
              <w:spacing w:after="0"/>
              <w:rPr>
                <w:sz w:val="23"/>
                <w:szCs w:val="23"/>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ind w:right="48"/>
              <w:spacing w:after="0"/>
              <w:rPr>
                <w:sz w:val="20"/>
                <w:szCs w:val="20"/>
                <w:color w:val="auto"/>
              </w:rPr>
            </w:pPr>
            <w:r>
              <w:rPr>
                <w:rFonts w:ascii="Arial" w:cs="Arial" w:eastAsia="Arial" w:hAnsi="Arial"/>
                <w:sz w:val="14"/>
                <w:szCs w:val="14"/>
                <w:color w:val="auto"/>
              </w:rPr>
              <w:t>715,488</w:t>
            </w:r>
          </w:p>
        </w:tc>
        <w:tc>
          <w:tcPr>
            <w:tcW w:w="100" w:type="dxa"/>
            <w:vAlign w:val="bottom"/>
          </w:tcPr>
          <w:p>
            <w:pPr>
              <w:spacing w:after="0"/>
              <w:rPr>
                <w:sz w:val="23"/>
                <w:szCs w:val="23"/>
                <w:color w:val="auto"/>
              </w:rPr>
            </w:pPr>
          </w:p>
        </w:tc>
        <w:tc>
          <w:tcPr>
            <w:tcW w:w="180" w:type="dxa"/>
            <w:vAlign w:val="bottom"/>
          </w:tcPr>
          <w:p>
            <w:pPr>
              <w:jc w:val="right"/>
              <w:ind w:right="8"/>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450,730</w:t>
            </w:r>
          </w:p>
        </w:tc>
        <w:tc>
          <w:tcPr>
            <w:tcW w:w="100" w:type="dxa"/>
            <w:vAlign w:val="bottom"/>
          </w:tcPr>
          <w:p>
            <w:pPr>
              <w:spacing w:after="0"/>
              <w:rPr>
                <w:sz w:val="23"/>
                <w:szCs w:val="23"/>
                <w:color w:val="auto"/>
              </w:rPr>
            </w:pPr>
          </w:p>
        </w:tc>
        <w:tc>
          <w:tcPr>
            <w:tcW w:w="20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800" w:type="dxa"/>
            <w:vAlign w:val="bottom"/>
          </w:tcPr>
          <w:p>
            <w:pPr>
              <w:ind w:left="5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80"/>
        </w:trPr>
        <w:tc>
          <w:tcPr>
            <w:tcW w:w="2260" w:type="dxa"/>
            <w:vAlign w:val="bottom"/>
          </w:tcPr>
          <w:p>
            <w:pPr>
              <w:spacing w:after="0"/>
              <w:rPr>
                <w:sz w:val="6"/>
                <w:szCs w:val="6"/>
                <w:color w:val="auto"/>
              </w:rPr>
            </w:pPr>
          </w:p>
        </w:tc>
        <w:tc>
          <w:tcPr>
            <w:tcW w:w="24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RISK AND UNCERTAINTIES</w:t>
      </w:r>
    </w:p>
    <w:p>
      <w:pPr>
        <w:spacing w:after="0" w:line="112"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The Plan invests in various investment securities. Investment securities are exposed to various risks, such as interest rate, credit risk, and overall market volatility. Due to the level of risk associated with certain investment securities, it is reasonably possible that changes in the values of investment securities will occur in the near term and that such changes could materially affect participants’ account balances and the amounts reported in the statements of net assets available for benefits.</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INCOME TAXES</w:t>
      </w:r>
    </w:p>
    <w:p>
      <w:pPr>
        <w:spacing w:after="0" w:line="112" w:lineRule="exact"/>
        <w:rPr>
          <w:sz w:val="20"/>
          <w:szCs w:val="20"/>
          <w:color w:val="auto"/>
        </w:rPr>
      </w:pPr>
    </w:p>
    <w:p>
      <w:pPr>
        <w:ind w:right="60"/>
        <w:spacing w:after="0" w:line="262" w:lineRule="auto"/>
        <w:rPr>
          <w:sz w:val="20"/>
          <w:szCs w:val="20"/>
          <w:color w:val="auto"/>
        </w:rPr>
      </w:pPr>
      <w:r>
        <w:rPr>
          <w:rFonts w:ascii="Arial" w:cs="Arial" w:eastAsia="Arial" w:hAnsi="Arial"/>
          <w:sz w:val="18"/>
          <w:szCs w:val="18"/>
          <w:color w:val="auto"/>
        </w:rPr>
        <w:t>The Plan obtained its latest determination letter on June 12, 2014, covering various amendments to the Plan, in which the IRS determined that the Plan and related trust, as then designed, was in compliance with the applicable</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463" w:right="279" w:bottom="1440" w:gutter="0" w:footer="0" w:header="0"/>
        </w:sectPr>
      </w:pPr>
    </w:p>
    <w:bookmarkStart w:id="10" w:name="page11"/>
    <w:bookmarkEnd w:id="10"/>
    <w:p>
      <w:pPr>
        <w:ind w:right="20"/>
        <w:spacing w:after="0" w:line="254" w:lineRule="auto"/>
        <w:rPr>
          <w:sz w:val="20"/>
          <w:szCs w:val="20"/>
          <w:color w:val="auto"/>
        </w:rPr>
      </w:pPr>
      <w:r>
        <w:rPr>
          <w:rFonts w:ascii="Arial" w:cs="Arial" w:eastAsia="Arial" w:hAnsi="Arial"/>
          <w:sz w:val="18"/>
          <w:szCs w:val="18"/>
          <w:color w:val="auto"/>
        </w:rPr>
        <w:t>requirements of the Code. Additional amendments to the Plan have been made and are not covered by the latest determination letter; however, the management of the Plan administrator and the Plan’s legal counsel believe that the Plan, as amended, is designed and is currently being administered in compliance with the applicable requirements of the Code. Therefore, the management of the Plan administrator believes the Plan is qualified, and the related trust is tax-exempt as of December 31, 2018.</w:t>
      </w:r>
    </w:p>
    <w:p>
      <w:pPr>
        <w:spacing w:after="0" w:line="69" w:lineRule="exact"/>
        <w:rPr>
          <w:sz w:val="20"/>
          <w:szCs w:val="20"/>
          <w:color w:val="auto"/>
        </w:rPr>
      </w:pPr>
    </w:p>
    <w:p>
      <w:pPr>
        <w:ind w:right="80"/>
        <w:spacing w:after="0" w:line="252" w:lineRule="auto"/>
        <w:rPr>
          <w:sz w:val="20"/>
          <w:szCs w:val="20"/>
          <w:color w:val="auto"/>
        </w:rPr>
      </w:pPr>
      <w:r>
        <w:rPr>
          <w:rFonts w:ascii="Arial" w:cs="Arial" w:eastAsia="Arial" w:hAnsi="Arial"/>
          <w:sz w:val="18"/>
          <w:szCs w:val="18"/>
          <w:color w:val="auto"/>
        </w:rPr>
        <w:t>GAAP requires the management of the Plan administrator to evaluate uncertain tax positions taken by the Plan and to recognize a tax liability (or asset) when the position is not more likely than not, based on the technical merits, to be sustained upon examination by the IRS. The management of the Plan administrator has analyzed the tax positions taken by the Plan and has concluded that as of December 31, 2018, there were no uncertain positions taken that would require recognition of a liability (or asset) or disclosure in the financial statements. The Plan has recognized no interest or penalties related to uncertain tax positions. The Plan is subject to routine audits by taxing jurisdictions. There are currently no audits for any tax periods in progress related to the Plan. The Plan is no longer subject to income tax examinations for years prior to 2015.</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RECONCILIATION OF FINANCIAL STATEMENTS TO FORM 5500</w:t>
      </w:r>
    </w:p>
    <w:p>
      <w:pPr>
        <w:spacing w:after="0" w:line="112"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color w:val="auto"/>
        </w:rPr>
        <w:t>The following is a reconciliation of net assets available for benefits per the financial statements to the net assets in the Form 5500 at December 31, 2018 and 2017:</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836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780" w:type="dxa"/>
            <w:vAlign w:val="bottom"/>
            <w:tcBorders>
              <w:bottom w:val="single" w:sz="8" w:color="auto"/>
            </w:tcBorders>
            <w:gridSpan w:val="3"/>
          </w:tcPr>
          <w:p>
            <w:pPr>
              <w:jc w:val="right"/>
              <w:ind w:right="8"/>
              <w:spacing w:after="0"/>
              <w:rPr>
                <w:sz w:val="20"/>
                <w:szCs w:val="20"/>
                <w:color w:val="auto"/>
              </w:rPr>
            </w:pPr>
            <w:r>
              <w:rPr>
                <w:rFonts w:ascii="Arial" w:cs="Arial" w:eastAsia="Arial" w:hAnsi="Arial"/>
                <w:sz w:val="14"/>
                <w:szCs w:val="14"/>
                <w:b w:val="1"/>
                <w:bCs w:val="1"/>
                <w:color w:val="auto"/>
              </w:rPr>
              <w:t>December 31,</w:t>
            </w:r>
          </w:p>
        </w:tc>
        <w:tc>
          <w:tcPr>
            <w:tcW w:w="9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w:t>
            </w: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71"/>
        </w:trPr>
        <w:tc>
          <w:tcPr>
            <w:tcW w:w="8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assets available for benefits per the financial statements</w:t>
            </w:r>
          </w:p>
        </w:tc>
        <w:tc>
          <w:tcPr>
            <w:tcW w:w="36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1,118,402</w:t>
            </w:r>
          </w:p>
        </w:tc>
        <w:tc>
          <w:tcPr>
            <w:tcW w:w="100" w:type="dxa"/>
            <w:vAlign w:val="bottom"/>
            <w:shd w:val="clear" w:color="auto" w:fill="CCEEFF"/>
          </w:tcPr>
          <w:p>
            <w:pPr>
              <w:spacing w:after="0"/>
              <w:rPr>
                <w:sz w:val="23"/>
                <w:szCs w:val="23"/>
                <w:color w:val="auto"/>
              </w:rPr>
            </w:pPr>
          </w:p>
        </w:tc>
        <w:tc>
          <w:tcPr>
            <w:tcW w:w="540" w:type="dxa"/>
            <w:vAlign w:val="bottom"/>
            <w:vMerge w:val="restart"/>
            <w:shd w:val="clear" w:color="auto" w:fill="CCEEFF"/>
          </w:tcPr>
          <w:p>
            <w:pPr>
              <w:jc w:val="right"/>
              <w:ind w:right="368"/>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1,256,271</w:t>
            </w:r>
          </w:p>
        </w:tc>
        <w:tc>
          <w:tcPr>
            <w:tcW w:w="0" w:type="dxa"/>
            <w:vAlign w:val="bottom"/>
          </w:tcPr>
          <w:p>
            <w:pPr>
              <w:spacing w:after="0"/>
              <w:rPr>
                <w:sz w:val="1"/>
                <w:szCs w:val="1"/>
                <w:color w:val="auto"/>
              </w:rPr>
            </w:pPr>
          </w:p>
        </w:tc>
      </w:tr>
      <w:tr>
        <w:trPr>
          <w:trHeight w:val="93"/>
        </w:trPr>
        <w:tc>
          <w:tcPr>
            <w:tcW w:w="8360" w:type="dxa"/>
            <w:vAlign w:val="bottom"/>
            <w:shd w:val="clear" w:color="auto" w:fill="CCEEFF"/>
          </w:tcPr>
          <w:p>
            <w:pPr>
              <w:spacing w:after="0"/>
              <w:rPr>
                <w:sz w:val="8"/>
                <w:szCs w:val="8"/>
                <w:color w:val="auto"/>
              </w:rPr>
            </w:pPr>
          </w:p>
        </w:tc>
        <w:tc>
          <w:tcPr>
            <w:tcW w:w="360" w:type="dxa"/>
            <w:vAlign w:val="bottom"/>
            <w:vMerge w:val="continue"/>
            <w:shd w:val="clear" w:color="auto" w:fill="CCEEFF"/>
          </w:tcPr>
          <w:p>
            <w:pPr>
              <w:spacing w:after="0"/>
              <w:rPr>
                <w:sz w:val="8"/>
                <w:szCs w:val="8"/>
                <w:color w:val="auto"/>
              </w:rPr>
            </w:pPr>
          </w:p>
        </w:tc>
        <w:tc>
          <w:tcPr>
            <w:tcW w:w="1140" w:type="dxa"/>
            <w:vAlign w:val="bottom"/>
            <w:vMerge w:val="continue"/>
            <w:shd w:val="clear" w:color="auto" w:fill="CCEEFF"/>
          </w:tcPr>
          <w:p>
            <w:pPr>
              <w:spacing w:after="0"/>
              <w:rPr>
                <w:sz w:val="8"/>
                <w:szCs w:val="8"/>
                <w:color w:val="auto"/>
              </w:rPr>
            </w:pPr>
          </w:p>
        </w:tc>
        <w:tc>
          <w:tcPr>
            <w:tcW w:w="100" w:type="dxa"/>
            <w:vAlign w:val="bottom"/>
            <w:shd w:val="clear" w:color="auto" w:fill="CCEEFF"/>
          </w:tcPr>
          <w:p>
            <w:pPr>
              <w:spacing w:after="0"/>
              <w:rPr>
                <w:sz w:val="8"/>
                <w:szCs w:val="8"/>
                <w:color w:val="auto"/>
              </w:rPr>
            </w:pPr>
          </w:p>
        </w:tc>
        <w:tc>
          <w:tcPr>
            <w:tcW w:w="540" w:type="dxa"/>
            <w:vAlign w:val="bottom"/>
            <w:vMerge w:val="continue"/>
            <w:shd w:val="clear" w:color="auto" w:fill="CCEEFF"/>
          </w:tcPr>
          <w:p>
            <w:pPr>
              <w:spacing w:after="0"/>
              <w:rPr>
                <w:sz w:val="8"/>
                <w:szCs w:val="8"/>
                <w:color w:val="auto"/>
              </w:rPr>
            </w:pPr>
          </w:p>
        </w:tc>
        <w:tc>
          <w:tcPr>
            <w:tcW w:w="92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8360" w:type="dxa"/>
            <w:vAlign w:val="bottom"/>
          </w:tcPr>
          <w:p>
            <w:pPr>
              <w:ind w:left="40"/>
              <w:spacing w:after="0"/>
              <w:rPr>
                <w:sz w:val="20"/>
                <w:szCs w:val="20"/>
                <w:color w:val="auto"/>
              </w:rPr>
            </w:pPr>
            <w:r>
              <w:rPr>
                <w:rFonts w:ascii="Arial" w:cs="Arial" w:eastAsia="Arial" w:hAnsi="Arial"/>
                <w:sz w:val="14"/>
                <w:szCs w:val="14"/>
                <w:color w:val="auto"/>
              </w:rPr>
              <w:t>Adjustment from contract value to fair value for interest in collective trust relating to fully benefit-responsive investment contracts</w:t>
            </w:r>
          </w:p>
        </w:tc>
        <w:tc>
          <w:tcPr>
            <w:tcW w:w="360" w:type="dxa"/>
            <w:vAlign w:val="bottom"/>
          </w:tcPr>
          <w:p>
            <w:pPr>
              <w:spacing w:after="0"/>
              <w:rPr>
                <w:sz w:val="24"/>
                <w:szCs w:val="24"/>
                <w:color w:val="auto"/>
              </w:rPr>
            </w:pPr>
          </w:p>
        </w:tc>
        <w:tc>
          <w:tcPr>
            <w:tcW w:w="1140" w:type="dxa"/>
            <w:vAlign w:val="bottom"/>
            <w:vMerge w:val="restart"/>
          </w:tcPr>
          <w:p>
            <w:pPr>
              <w:jc w:val="right"/>
              <w:ind w:right="8"/>
              <w:spacing w:after="0"/>
              <w:rPr>
                <w:sz w:val="20"/>
                <w:szCs w:val="20"/>
                <w:color w:val="auto"/>
              </w:rPr>
            </w:pPr>
            <w:r>
              <w:rPr>
                <w:rFonts w:ascii="Arial" w:cs="Arial" w:eastAsia="Arial" w:hAnsi="Arial"/>
                <w:sz w:val="14"/>
                <w:szCs w:val="14"/>
                <w:color w:val="auto"/>
              </w:rPr>
              <w:t>(769)</w:t>
            </w: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(134)</w:t>
            </w:r>
          </w:p>
        </w:tc>
        <w:tc>
          <w:tcPr>
            <w:tcW w:w="0" w:type="dxa"/>
            <w:vAlign w:val="bottom"/>
          </w:tcPr>
          <w:p>
            <w:pPr>
              <w:spacing w:after="0"/>
              <w:rPr>
                <w:sz w:val="1"/>
                <w:szCs w:val="1"/>
                <w:color w:val="auto"/>
              </w:rPr>
            </w:pPr>
          </w:p>
        </w:tc>
      </w:tr>
      <w:tr>
        <w:trPr>
          <w:trHeight w:val="87"/>
        </w:trPr>
        <w:tc>
          <w:tcPr>
            <w:tcW w:w="8360" w:type="dxa"/>
            <w:vAlign w:val="bottom"/>
            <w:tcBorders>
              <w:bottom w:val="single" w:sz="8" w:color="CCEEFF"/>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1140" w:type="dxa"/>
            <w:vAlign w:val="bottom"/>
            <w:tcBorders>
              <w:bottom w:val="single" w:sz="8" w:color="auto"/>
            </w:tcBorders>
            <w:vMerge w:val="continue"/>
          </w:tcPr>
          <w:p>
            <w:pPr>
              <w:spacing w:after="0"/>
              <w:rPr>
                <w:sz w:val="7"/>
                <w:szCs w:val="7"/>
                <w:color w:val="auto"/>
              </w:rPr>
            </w:pPr>
          </w:p>
        </w:tc>
        <w:tc>
          <w:tcPr>
            <w:tcW w:w="100" w:type="dxa"/>
            <w:vAlign w:val="bottom"/>
            <w:tcBorders>
              <w:bottom w:val="single" w:sz="8" w:color="CCEEFF"/>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92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1"/>
        </w:trPr>
        <w:tc>
          <w:tcPr>
            <w:tcW w:w="836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assets per the Form 5500</w:t>
            </w:r>
          </w:p>
        </w:tc>
        <w:tc>
          <w:tcPr>
            <w:tcW w:w="360" w:type="dxa"/>
            <w:vAlign w:val="bottom"/>
            <w:vMerge w:val="restart"/>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11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1,117,633</w:t>
            </w:r>
          </w:p>
        </w:tc>
        <w:tc>
          <w:tcPr>
            <w:tcW w:w="100" w:type="dxa"/>
            <w:vAlign w:val="bottom"/>
            <w:shd w:val="clear" w:color="auto" w:fill="CCEEFF"/>
          </w:tcPr>
          <w:p>
            <w:pPr>
              <w:spacing w:after="0"/>
              <w:rPr>
                <w:sz w:val="23"/>
                <w:szCs w:val="23"/>
                <w:color w:val="auto"/>
              </w:rPr>
            </w:pPr>
          </w:p>
        </w:tc>
        <w:tc>
          <w:tcPr>
            <w:tcW w:w="540" w:type="dxa"/>
            <w:vAlign w:val="bottom"/>
            <w:vMerge w:val="restart"/>
            <w:shd w:val="clear" w:color="auto" w:fill="CCEEFF"/>
          </w:tcPr>
          <w:p>
            <w:pPr>
              <w:jc w:val="right"/>
              <w:ind w:right="368"/>
              <w:spacing w:after="0"/>
              <w:rPr>
                <w:sz w:val="20"/>
                <w:szCs w:val="20"/>
                <w:color w:val="auto"/>
              </w:rPr>
            </w:pPr>
            <w:r>
              <w:rPr>
                <w:rFonts w:ascii="Arial" w:cs="Arial" w:eastAsia="Arial" w:hAnsi="Arial"/>
                <w:sz w:val="14"/>
                <w:szCs w:val="14"/>
                <w:color w:val="auto"/>
              </w:rPr>
              <w:t>$</w:t>
            </w:r>
          </w:p>
        </w:tc>
        <w:tc>
          <w:tcPr>
            <w:tcW w:w="9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1,256,137</w:t>
            </w:r>
          </w:p>
        </w:tc>
        <w:tc>
          <w:tcPr>
            <w:tcW w:w="0" w:type="dxa"/>
            <w:vAlign w:val="bottom"/>
          </w:tcPr>
          <w:p>
            <w:pPr>
              <w:spacing w:after="0"/>
              <w:rPr>
                <w:sz w:val="1"/>
                <w:szCs w:val="1"/>
                <w:color w:val="auto"/>
              </w:rPr>
            </w:pPr>
          </w:p>
        </w:tc>
      </w:tr>
      <w:tr>
        <w:trPr>
          <w:trHeight w:val="80"/>
        </w:trPr>
        <w:tc>
          <w:tcPr>
            <w:tcW w:w="8360" w:type="dxa"/>
            <w:vAlign w:val="bottom"/>
            <w:tcBorders>
              <w:bottom w:val="single" w:sz="8" w:color="CCEEFF"/>
            </w:tcBorders>
            <w:shd w:val="clear" w:color="auto" w:fill="CCEEFF"/>
          </w:tcPr>
          <w:p>
            <w:pPr>
              <w:spacing w:after="0"/>
              <w:rPr>
                <w:sz w:val="6"/>
                <w:szCs w:val="6"/>
                <w:color w:val="auto"/>
              </w:rPr>
            </w:pPr>
          </w:p>
        </w:tc>
        <w:tc>
          <w:tcPr>
            <w:tcW w:w="360" w:type="dxa"/>
            <w:vAlign w:val="bottom"/>
            <w:tcBorders>
              <w:bottom w:val="single" w:sz="8" w:color="CCEEFF"/>
            </w:tcBorders>
            <w:vMerge w:val="continue"/>
            <w:shd w:val="clear" w:color="auto" w:fill="CCEEFF"/>
          </w:tcPr>
          <w:p>
            <w:pPr>
              <w:spacing w:after="0"/>
              <w:rPr>
                <w:sz w:val="6"/>
                <w:szCs w:val="6"/>
                <w:color w:val="auto"/>
              </w:rPr>
            </w:pPr>
          </w:p>
        </w:tc>
        <w:tc>
          <w:tcPr>
            <w:tcW w:w="1140" w:type="dxa"/>
            <w:vAlign w:val="bottom"/>
            <w:tcBorders>
              <w:bottom w:val="single" w:sz="8" w:color="CCEEFF"/>
            </w:tcBorders>
            <w:vMerge w:val="continue"/>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540" w:type="dxa"/>
            <w:vAlign w:val="bottom"/>
            <w:tcBorders>
              <w:bottom w:val="single" w:sz="8" w:color="CCEEFF"/>
            </w:tcBorders>
            <w:vMerge w:val="continue"/>
            <w:shd w:val="clear" w:color="auto" w:fill="CCEEFF"/>
          </w:tcPr>
          <w:p>
            <w:pPr>
              <w:spacing w:after="0"/>
              <w:rPr>
                <w:sz w:val="6"/>
                <w:szCs w:val="6"/>
                <w:color w:val="auto"/>
              </w:rPr>
            </w:pPr>
          </w:p>
        </w:tc>
        <w:tc>
          <w:tcPr>
            <w:tcW w:w="920" w:type="dxa"/>
            <w:vAlign w:val="bottom"/>
            <w:tcBorders>
              <w:bottom w:val="single" w:sz="8" w:color="CCEEFF"/>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right="380"/>
        <w:spacing w:after="0" w:line="262" w:lineRule="auto"/>
        <w:rPr>
          <w:sz w:val="20"/>
          <w:szCs w:val="20"/>
          <w:color w:val="auto"/>
        </w:rPr>
      </w:pPr>
      <w:r>
        <w:rPr>
          <w:rFonts w:ascii="Arial" w:cs="Arial" w:eastAsia="Arial" w:hAnsi="Arial"/>
          <w:sz w:val="18"/>
          <w:szCs w:val="18"/>
          <w:color w:val="auto"/>
        </w:rPr>
        <w:t>The following is a reconciliation of the changes in net assets available for benefits per the financial statements to the changes in net assets available for benefits in the Form 5500 for the year ended December 31, 2018:</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99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60" w:type="dxa"/>
            <w:vAlign w:val="bottom"/>
          </w:tcPr>
          <w:p>
            <w:pPr>
              <w:jc w:val="center"/>
              <w:ind w:right="8"/>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96"/>
        </w:trPr>
        <w:tc>
          <w:tcPr>
            <w:tcW w:w="99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center"/>
              <w:ind w:right="8"/>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250"/>
        </w:trPr>
        <w:tc>
          <w:tcPr>
            <w:tcW w:w="994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(In thousands)</w:t>
            </w:r>
          </w:p>
        </w:tc>
        <w:tc>
          <w:tcPr>
            <w:tcW w:w="220" w:type="dxa"/>
            <w:vAlign w:val="bottom"/>
            <w:tcBorders>
              <w:bottom w:val="single" w:sz="8" w:color="auto"/>
            </w:tcBorders>
          </w:tcPr>
          <w:p>
            <w:pPr>
              <w:spacing w:after="0"/>
              <w:rPr>
                <w:sz w:val="21"/>
                <w:szCs w:val="21"/>
                <w:color w:val="auto"/>
              </w:rPr>
            </w:pPr>
          </w:p>
        </w:tc>
        <w:tc>
          <w:tcPr>
            <w:tcW w:w="12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rPr>
              <w:t>2018</w:t>
            </w:r>
          </w:p>
        </w:tc>
        <w:tc>
          <w:tcPr>
            <w:tcW w:w="0" w:type="dxa"/>
            <w:vAlign w:val="bottom"/>
          </w:tcPr>
          <w:p>
            <w:pPr>
              <w:spacing w:after="0"/>
              <w:rPr>
                <w:sz w:val="1"/>
                <w:szCs w:val="1"/>
                <w:color w:val="auto"/>
              </w:rPr>
            </w:pPr>
          </w:p>
        </w:tc>
      </w:tr>
      <w:tr>
        <w:trPr>
          <w:trHeight w:val="271"/>
        </w:trPr>
        <w:tc>
          <w:tcPr>
            <w:tcW w:w="99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decrease in net assets available for benefits per financial statements</w:t>
            </w:r>
          </w:p>
        </w:tc>
        <w:tc>
          <w:tcPr>
            <w:tcW w:w="2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(137,869)</w:t>
            </w:r>
          </w:p>
        </w:tc>
        <w:tc>
          <w:tcPr>
            <w:tcW w:w="0" w:type="dxa"/>
            <w:vAlign w:val="bottom"/>
          </w:tcPr>
          <w:p>
            <w:pPr>
              <w:spacing w:after="0"/>
              <w:rPr>
                <w:sz w:val="1"/>
                <w:szCs w:val="1"/>
                <w:color w:val="auto"/>
              </w:rPr>
            </w:pPr>
          </w:p>
        </w:tc>
      </w:tr>
      <w:tr>
        <w:trPr>
          <w:trHeight w:val="93"/>
        </w:trPr>
        <w:tc>
          <w:tcPr>
            <w:tcW w:w="9940" w:type="dxa"/>
            <w:vAlign w:val="bottom"/>
            <w:shd w:val="clear" w:color="auto" w:fill="CCEEFF"/>
          </w:tcPr>
          <w:p>
            <w:pPr>
              <w:spacing w:after="0"/>
              <w:rPr>
                <w:sz w:val="8"/>
                <w:szCs w:val="8"/>
                <w:color w:val="auto"/>
              </w:rPr>
            </w:pPr>
          </w:p>
        </w:tc>
        <w:tc>
          <w:tcPr>
            <w:tcW w:w="220" w:type="dxa"/>
            <w:vAlign w:val="bottom"/>
            <w:vMerge w:val="continue"/>
            <w:shd w:val="clear" w:color="auto" w:fill="CCEEFF"/>
          </w:tcPr>
          <w:p>
            <w:pPr>
              <w:spacing w:after="0"/>
              <w:rPr>
                <w:sz w:val="8"/>
                <w:szCs w:val="8"/>
                <w:color w:val="auto"/>
              </w:rPr>
            </w:pPr>
          </w:p>
        </w:tc>
        <w:tc>
          <w:tcPr>
            <w:tcW w:w="1260" w:type="dxa"/>
            <w:vAlign w:val="bottom"/>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9940" w:type="dxa"/>
            <w:vAlign w:val="bottom"/>
          </w:tcPr>
          <w:p>
            <w:pPr>
              <w:ind w:left="40"/>
              <w:spacing w:after="0"/>
              <w:rPr>
                <w:sz w:val="20"/>
                <w:szCs w:val="20"/>
                <w:color w:val="auto"/>
              </w:rPr>
            </w:pPr>
            <w:r>
              <w:rPr>
                <w:rFonts w:ascii="Arial" w:cs="Arial" w:eastAsia="Arial" w:hAnsi="Arial"/>
                <w:sz w:val="14"/>
                <w:szCs w:val="14"/>
                <w:color w:val="auto"/>
              </w:rPr>
              <w:t>Change in the adjustment from contract value to fair value for interest in collective trust relating to fully benefit-responsive investment contracts</w:t>
            </w:r>
          </w:p>
        </w:tc>
        <w:tc>
          <w:tcPr>
            <w:tcW w:w="220" w:type="dxa"/>
            <w:vAlign w:val="bottom"/>
          </w:tcPr>
          <w:p>
            <w:pPr>
              <w:spacing w:after="0"/>
              <w:rPr>
                <w:sz w:val="24"/>
                <w:szCs w:val="24"/>
                <w:color w:val="auto"/>
              </w:rPr>
            </w:pPr>
          </w:p>
        </w:tc>
        <w:tc>
          <w:tcPr>
            <w:tcW w:w="1260" w:type="dxa"/>
            <w:vAlign w:val="bottom"/>
            <w:vMerge w:val="restart"/>
          </w:tcPr>
          <w:p>
            <w:pPr>
              <w:jc w:val="right"/>
              <w:spacing w:after="0"/>
              <w:rPr>
                <w:sz w:val="20"/>
                <w:szCs w:val="20"/>
                <w:color w:val="auto"/>
              </w:rPr>
            </w:pPr>
            <w:r>
              <w:rPr>
                <w:rFonts w:ascii="Arial" w:cs="Arial" w:eastAsia="Arial" w:hAnsi="Arial"/>
                <w:sz w:val="14"/>
                <w:szCs w:val="14"/>
                <w:color w:val="auto"/>
              </w:rPr>
              <w:t>(635)</w:t>
            </w:r>
          </w:p>
        </w:tc>
        <w:tc>
          <w:tcPr>
            <w:tcW w:w="0" w:type="dxa"/>
            <w:vAlign w:val="bottom"/>
          </w:tcPr>
          <w:p>
            <w:pPr>
              <w:spacing w:after="0"/>
              <w:rPr>
                <w:sz w:val="1"/>
                <w:szCs w:val="1"/>
                <w:color w:val="auto"/>
              </w:rPr>
            </w:pPr>
          </w:p>
        </w:tc>
      </w:tr>
      <w:tr>
        <w:trPr>
          <w:trHeight w:val="87"/>
        </w:trPr>
        <w:tc>
          <w:tcPr>
            <w:tcW w:w="9940" w:type="dxa"/>
            <w:vAlign w:val="bottom"/>
            <w:tcBorders>
              <w:bottom w:val="single" w:sz="8" w:color="CCEEFF"/>
            </w:tcBorders>
          </w:tcPr>
          <w:p>
            <w:pPr>
              <w:spacing w:after="0"/>
              <w:rPr>
                <w:sz w:val="7"/>
                <w:szCs w:val="7"/>
                <w:color w:val="auto"/>
              </w:rPr>
            </w:pPr>
          </w:p>
        </w:tc>
        <w:tc>
          <w:tcPr>
            <w:tcW w:w="220" w:type="dxa"/>
            <w:vAlign w:val="bottom"/>
            <w:tcBorders>
              <w:bottom w:val="single" w:sz="8" w:color="auto"/>
            </w:tcBorders>
          </w:tcPr>
          <w:p>
            <w:pPr>
              <w:spacing w:after="0"/>
              <w:rPr>
                <w:sz w:val="7"/>
                <w:szCs w:val="7"/>
                <w:color w:val="auto"/>
              </w:rPr>
            </w:pPr>
          </w:p>
        </w:tc>
        <w:tc>
          <w:tcPr>
            <w:tcW w:w="12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1"/>
        </w:trPr>
        <w:tc>
          <w:tcPr>
            <w:tcW w:w="99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decrease in net assets available for benefits in the Form 5500</w:t>
            </w:r>
          </w:p>
        </w:tc>
        <w:tc>
          <w:tcPr>
            <w:tcW w:w="22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(138,504)</w:t>
            </w:r>
          </w:p>
        </w:tc>
        <w:tc>
          <w:tcPr>
            <w:tcW w:w="0" w:type="dxa"/>
            <w:vAlign w:val="bottom"/>
          </w:tcPr>
          <w:p>
            <w:pPr>
              <w:spacing w:after="0"/>
              <w:rPr>
                <w:sz w:val="1"/>
                <w:szCs w:val="1"/>
                <w:color w:val="auto"/>
              </w:rPr>
            </w:pPr>
          </w:p>
        </w:tc>
      </w:tr>
      <w:tr>
        <w:trPr>
          <w:trHeight w:val="80"/>
        </w:trPr>
        <w:tc>
          <w:tcPr>
            <w:tcW w:w="9940" w:type="dxa"/>
            <w:vAlign w:val="bottom"/>
            <w:tcBorders>
              <w:bottom w:val="single" w:sz="8" w:color="CCEEFF"/>
            </w:tcBorders>
            <w:shd w:val="clear" w:color="auto" w:fill="CCEEFF"/>
          </w:tcPr>
          <w:p>
            <w:pPr>
              <w:spacing w:after="0"/>
              <w:rPr>
                <w:sz w:val="6"/>
                <w:szCs w:val="6"/>
                <w:color w:val="auto"/>
              </w:rPr>
            </w:pPr>
          </w:p>
        </w:tc>
        <w:tc>
          <w:tcPr>
            <w:tcW w:w="220" w:type="dxa"/>
            <w:vAlign w:val="bottom"/>
            <w:tcBorders>
              <w:bottom w:val="single" w:sz="8" w:color="CCEEFF"/>
            </w:tcBorders>
            <w:vMerge w:val="continue"/>
            <w:shd w:val="clear" w:color="auto" w:fill="CCEEFF"/>
          </w:tcPr>
          <w:p>
            <w:pPr>
              <w:spacing w:after="0"/>
              <w:rPr>
                <w:sz w:val="6"/>
                <w:szCs w:val="6"/>
                <w:color w:val="auto"/>
              </w:rPr>
            </w:pPr>
          </w:p>
        </w:tc>
        <w:tc>
          <w:tcPr>
            <w:tcW w:w="1260" w:type="dxa"/>
            <w:vAlign w:val="bottom"/>
            <w:tcBorders>
              <w:bottom w:val="single" w:sz="8" w:color="CCEEFF"/>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63" w:right="239" w:bottom="1440" w:gutter="0" w:footer="0" w:header="0"/>
        </w:sectPr>
      </w:pPr>
    </w:p>
    <w:bookmarkStart w:id="11" w:name="page12"/>
    <w:bookmarkEnd w:id="11"/>
    <w:p>
      <w:pPr>
        <w:jc w:val="center"/>
        <w:ind w:right="20"/>
        <w:spacing w:after="0"/>
        <w:rPr>
          <w:sz w:val="20"/>
          <w:szCs w:val="20"/>
          <w:color w:val="auto"/>
        </w:rPr>
      </w:pPr>
      <w:r>
        <w:rPr>
          <w:rFonts w:ascii="Arial" w:cs="Arial" w:eastAsia="Arial" w:hAnsi="Arial"/>
          <w:sz w:val="18"/>
          <w:szCs w:val="18"/>
          <w:b w:val="1"/>
          <w:bCs w:val="1"/>
          <w:color w:val="auto"/>
        </w:rPr>
        <w:t>TECHNIPFMC RETIREMENT SAVINGS PLAN</w:t>
      </w:r>
    </w:p>
    <w:p>
      <w:pPr>
        <w:spacing w:after="0" w:line="3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EIN: 36-4412642 Plan Number: 002</w:t>
      </w:r>
    </w:p>
    <w:p>
      <w:pPr>
        <w:spacing w:after="0" w:line="3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Form 5500 Schedule H, Part IV, Line 4a – Schedule of Delinquent Participant Contributions</w:t>
      </w:r>
    </w:p>
    <w:p>
      <w:pPr>
        <w:spacing w:after="0" w:line="3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December 31, 2018</w:t>
      </w:r>
    </w:p>
    <w:p>
      <w:pPr>
        <w:spacing w:after="0" w:line="42"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(In thousands)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20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rPr>
              <w:t>Participant Contributions Transferred Late</w:t>
            </w:r>
          </w:p>
        </w:tc>
        <w:tc>
          <w:tcPr>
            <w:tcW w:w="1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tcPr>
          <w:p>
            <w:pPr>
              <w:spacing w:after="0"/>
              <w:rPr>
                <w:sz w:val="14"/>
                <w:szCs w:val="14"/>
                <w:color w:val="auto"/>
              </w:rPr>
            </w:pPr>
          </w:p>
        </w:tc>
      </w:tr>
      <w:tr>
        <w:trPr>
          <w:trHeight w:val="196"/>
        </w:trPr>
        <w:tc>
          <w:tcPr>
            <w:tcW w:w="220" w:type="dxa"/>
            <w:vAlign w:val="bottom"/>
          </w:tcPr>
          <w:p>
            <w:pPr>
              <w:spacing w:after="0"/>
              <w:rPr>
                <w:sz w:val="17"/>
                <w:szCs w:val="17"/>
                <w:color w:val="auto"/>
              </w:rPr>
            </w:pPr>
          </w:p>
        </w:tc>
        <w:tc>
          <w:tcPr>
            <w:tcW w:w="29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to Plan</w:t>
            </w:r>
          </w:p>
        </w:tc>
        <w:tc>
          <w:tcPr>
            <w:tcW w:w="100" w:type="dxa"/>
            <w:vAlign w:val="bottom"/>
          </w:tcPr>
          <w:p>
            <w:pPr>
              <w:spacing w:after="0"/>
              <w:rPr>
                <w:sz w:val="17"/>
                <w:szCs w:val="17"/>
                <w:color w:val="auto"/>
              </w:rPr>
            </w:pPr>
          </w:p>
        </w:tc>
        <w:tc>
          <w:tcPr>
            <w:tcW w:w="6180" w:type="dxa"/>
            <w:vAlign w:val="bottom"/>
            <w:gridSpan w:val="8"/>
          </w:tcPr>
          <w:p>
            <w:pPr>
              <w:ind w:left="1060"/>
              <w:spacing w:after="0"/>
              <w:rPr>
                <w:sz w:val="20"/>
                <w:szCs w:val="20"/>
                <w:color w:val="auto"/>
              </w:rPr>
            </w:pPr>
            <w:r>
              <w:rPr>
                <w:rFonts w:ascii="Arial" w:cs="Arial" w:eastAsia="Arial" w:hAnsi="Arial"/>
                <w:sz w:val="14"/>
                <w:szCs w:val="14"/>
                <w:b w:val="1"/>
                <w:bCs w:val="1"/>
                <w:color w:val="auto"/>
              </w:rPr>
              <w:t>Total that Constitute Nonexempt Prohibited Transactions</w:t>
            </w:r>
          </w:p>
        </w:tc>
        <w:tc>
          <w:tcPr>
            <w:tcW w:w="140" w:type="dxa"/>
            <w:vAlign w:val="bottom"/>
          </w:tcPr>
          <w:p>
            <w:pPr>
              <w:spacing w:after="0"/>
              <w:rPr>
                <w:sz w:val="17"/>
                <w:szCs w:val="17"/>
                <w:color w:val="auto"/>
              </w:rPr>
            </w:pPr>
          </w:p>
        </w:tc>
        <w:tc>
          <w:tcPr>
            <w:tcW w:w="1660" w:type="dxa"/>
            <w:vAlign w:val="bottom"/>
          </w:tcPr>
          <w:p>
            <w:pPr>
              <w:spacing w:after="0"/>
              <w:rPr>
                <w:sz w:val="17"/>
                <w:szCs w:val="17"/>
                <w:color w:val="auto"/>
              </w:rPr>
            </w:pPr>
          </w:p>
        </w:tc>
      </w:tr>
      <w:tr>
        <w:trPr>
          <w:trHeight w:val="162"/>
        </w:trPr>
        <w:tc>
          <w:tcPr>
            <w:tcW w:w="220" w:type="dxa"/>
            <w:vAlign w:val="bottom"/>
            <w:tcBorders>
              <w:top w:val="single" w:sz="8" w:color="auto"/>
            </w:tcBorders>
          </w:tcPr>
          <w:p>
            <w:pPr>
              <w:spacing w:after="0"/>
              <w:rPr>
                <w:sz w:val="14"/>
                <w:szCs w:val="14"/>
                <w:color w:val="auto"/>
              </w:rPr>
            </w:pPr>
          </w:p>
        </w:tc>
        <w:tc>
          <w:tcPr>
            <w:tcW w:w="286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206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88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6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tcPr>
          <w:p>
            <w:pPr>
              <w:jc w:val="center"/>
              <w:ind w:right="88"/>
              <w:spacing w:after="0"/>
              <w:rPr>
                <w:sz w:val="20"/>
                <w:szCs w:val="20"/>
                <w:color w:val="auto"/>
              </w:rPr>
            </w:pPr>
            <w:r>
              <w:rPr>
                <w:rFonts w:ascii="Arial" w:cs="Arial" w:eastAsia="Arial" w:hAnsi="Arial"/>
                <w:sz w:val="14"/>
                <w:szCs w:val="14"/>
                <w:b w:val="1"/>
                <w:bCs w:val="1"/>
                <w:color w:val="auto"/>
              </w:rPr>
              <w:t>Total Fully Corrected</w:t>
            </w:r>
          </w:p>
        </w:tc>
      </w:tr>
      <w:tr>
        <w:trPr>
          <w:trHeight w:val="162"/>
        </w:trPr>
        <w:tc>
          <w:tcPr>
            <w:tcW w:w="220" w:type="dxa"/>
            <w:vAlign w:val="bottom"/>
          </w:tcPr>
          <w:p>
            <w:pPr>
              <w:spacing w:after="0"/>
              <w:rPr>
                <w:sz w:val="14"/>
                <w:szCs w:val="14"/>
                <w:color w:val="auto"/>
              </w:rPr>
            </w:pPr>
          </w:p>
        </w:tc>
        <w:tc>
          <w:tcPr>
            <w:tcW w:w="298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Check Here if Late Participant Loan</w:t>
            </w:r>
          </w:p>
        </w:tc>
        <w:tc>
          <w:tcPr>
            <w:tcW w:w="10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8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rPr>
              <w:t>Contributions Corrected</w:t>
            </w:r>
          </w:p>
        </w:tc>
        <w:tc>
          <w:tcPr>
            <w:tcW w:w="17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rPr>
              <w:t>Contributions Pending</w:t>
            </w:r>
          </w:p>
        </w:tc>
        <w:tc>
          <w:tcPr>
            <w:tcW w:w="140" w:type="dxa"/>
            <w:vAlign w:val="bottom"/>
          </w:tcPr>
          <w:p>
            <w:pPr>
              <w:spacing w:after="0"/>
              <w:rPr>
                <w:sz w:val="14"/>
                <w:szCs w:val="14"/>
                <w:color w:val="auto"/>
              </w:rPr>
            </w:pPr>
          </w:p>
        </w:tc>
        <w:tc>
          <w:tcPr>
            <w:tcW w:w="1660" w:type="dxa"/>
            <w:vAlign w:val="bottom"/>
          </w:tcPr>
          <w:p>
            <w:pPr>
              <w:jc w:val="center"/>
              <w:ind w:right="88"/>
              <w:spacing w:after="0"/>
              <w:rPr>
                <w:sz w:val="20"/>
                <w:szCs w:val="20"/>
                <w:color w:val="auto"/>
              </w:rPr>
            </w:pPr>
            <w:r>
              <w:rPr>
                <w:rFonts w:ascii="Arial" w:cs="Arial" w:eastAsia="Arial" w:hAnsi="Arial"/>
                <w:sz w:val="14"/>
                <w:szCs w:val="14"/>
                <w:b w:val="1"/>
                <w:bCs w:val="1"/>
                <w:color w:val="auto"/>
              </w:rPr>
              <w:t>Under VFCP and PTE</w:t>
            </w:r>
          </w:p>
        </w:tc>
      </w:tr>
      <w:tr>
        <w:trPr>
          <w:trHeight w:val="196"/>
        </w:trPr>
        <w:tc>
          <w:tcPr>
            <w:tcW w:w="220" w:type="dxa"/>
            <w:vAlign w:val="bottom"/>
            <w:tcBorders>
              <w:bottom w:val="single" w:sz="8" w:color="auto"/>
            </w:tcBorders>
          </w:tcPr>
          <w:p>
            <w:pPr>
              <w:spacing w:after="0"/>
              <w:rPr>
                <w:sz w:val="17"/>
                <w:szCs w:val="17"/>
                <w:color w:val="auto"/>
              </w:rPr>
            </w:pPr>
          </w:p>
        </w:tc>
        <w:tc>
          <w:tcPr>
            <w:tcW w:w="2860" w:type="dxa"/>
            <w:vAlign w:val="bottom"/>
            <w:tcBorders>
              <w:bottom w:val="single" w:sz="8" w:color="auto"/>
            </w:tcBorders>
          </w:tcPr>
          <w:p>
            <w:pPr>
              <w:jc w:val="center"/>
              <w:ind w:right="148"/>
              <w:spacing w:after="0"/>
              <w:rPr>
                <w:sz w:val="20"/>
                <w:szCs w:val="20"/>
                <w:color w:val="auto"/>
              </w:rPr>
            </w:pPr>
            <w:r>
              <w:rPr>
                <w:rFonts w:ascii="Arial" w:cs="Arial" w:eastAsia="Arial" w:hAnsi="Arial"/>
                <w:sz w:val="14"/>
                <w:szCs w:val="14"/>
                <w:b w:val="1"/>
                <w:bCs w:val="1"/>
                <w:color w:val="auto"/>
              </w:rPr>
              <w:t>Payments are Included: [X]</w:t>
            </w:r>
          </w:p>
        </w:tc>
        <w:tc>
          <w:tcPr>
            <w:tcW w:w="12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0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Contributions Not Corrected</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8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rPr>
              <w:t>Outside VFCP</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6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rPr>
              <w:t>Correction VFCP</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center"/>
              <w:ind w:right="68"/>
              <w:spacing w:after="0"/>
              <w:rPr>
                <w:sz w:val="20"/>
                <w:szCs w:val="20"/>
                <w:color w:val="auto"/>
              </w:rPr>
            </w:pPr>
            <w:r>
              <w:rPr>
                <w:rFonts w:ascii="Arial" w:cs="Arial" w:eastAsia="Arial" w:hAnsi="Arial"/>
                <w:sz w:val="14"/>
                <w:szCs w:val="14"/>
                <w:b w:val="1"/>
                <w:bCs w:val="1"/>
                <w:color w:val="auto"/>
              </w:rPr>
              <w:t>2002-51</w:t>
            </w:r>
          </w:p>
        </w:tc>
      </w:tr>
      <w:tr>
        <w:trPr>
          <w:trHeight w:val="256"/>
        </w:trPr>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286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182</w:t>
            </w:r>
          </w:p>
        </w:tc>
        <w:tc>
          <w:tcPr>
            <w:tcW w:w="120" w:type="dxa"/>
            <w:vAlign w:val="bottom"/>
            <w:shd w:val="clear" w:color="auto" w:fill="CCEEFF"/>
          </w:tcPr>
          <w:p>
            <w:pPr>
              <w:spacing w:after="0"/>
              <w:rPr>
                <w:sz w:val="22"/>
                <w:szCs w:val="22"/>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180" w:type="dxa"/>
            <w:vAlign w:val="bottom"/>
            <w:gridSpan w:val="2"/>
            <w:shd w:val="clear" w:color="auto" w:fill="CCEEFF"/>
          </w:tcPr>
          <w:p>
            <w:pPr>
              <w:ind w:left="17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080" w:type="dxa"/>
            <w:vAlign w:val="bottom"/>
            <w:gridSpan w:val="3"/>
            <w:shd w:val="clear" w:color="auto" w:fill="CCEEFF"/>
          </w:tcPr>
          <w:p>
            <w:pPr>
              <w:ind w:left="1620"/>
              <w:spacing w:after="0"/>
              <w:rPr>
                <w:sz w:val="20"/>
                <w:szCs w:val="20"/>
                <w:color w:val="auto"/>
              </w:rPr>
            </w:pPr>
            <w:r>
              <w:rPr>
                <w:rFonts w:ascii="Arial" w:cs="Arial" w:eastAsia="Arial" w:hAnsi="Arial"/>
                <w:sz w:val="14"/>
                <w:szCs w:val="14"/>
                <w:color w:val="auto"/>
              </w:rPr>
              <w:t>—   $</w:t>
            </w:r>
          </w:p>
        </w:tc>
        <w:tc>
          <w:tcPr>
            <w:tcW w:w="16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182</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6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182</w:t>
            </w: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80"/>
          </w:cols>
          <w:pgMar w:left="320" w:top="360" w:right="299" w:bottom="1440" w:gutter="0" w:footer="0" w:header="0"/>
        </w:sectPr>
      </w:pPr>
    </w:p>
    <w:bookmarkStart w:id="12" w:name="page13"/>
    <w:bookmarkEnd w:id="12"/>
    <w:p>
      <w:pPr>
        <w:jc w:val="center"/>
        <w:ind w:left="2420"/>
        <w:spacing w:after="0"/>
        <w:rPr>
          <w:sz w:val="20"/>
          <w:szCs w:val="20"/>
          <w:color w:val="auto"/>
        </w:rPr>
      </w:pPr>
      <w:r>
        <w:rPr>
          <w:rFonts w:ascii="Arial" w:cs="Arial" w:eastAsia="Arial" w:hAnsi="Arial"/>
          <w:sz w:val="18"/>
          <w:szCs w:val="18"/>
          <w:b w:val="1"/>
          <w:bCs w:val="1"/>
          <w:color w:val="auto"/>
        </w:rPr>
        <w:t>TECHNIPFMC RETIREMENT SAVINGS PLAN</w:t>
      </w:r>
    </w:p>
    <w:p>
      <w:pPr>
        <w:spacing w:after="0" w:line="31" w:lineRule="exact"/>
        <w:rPr>
          <w:sz w:val="20"/>
          <w:szCs w:val="20"/>
          <w:color w:val="auto"/>
        </w:rPr>
      </w:pPr>
    </w:p>
    <w:p>
      <w:pPr>
        <w:jc w:val="center"/>
        <w:ind w:left="2420"/>
        <w:spacing w:after="0"/>
        <w:rPr>
          <w:sz w:val="20"/>
          <w:szCs w:val="20"/>
          <w:color w:val="auto"/>
        </w:rPr>
      </w:pPr>
      <w:r>
        <w:rPr>
          <w:rFonts w:ascii="Arial" w:cs="Arial" w:eastAsia="Arial" w:hAnsi="Arial"/>
          <w:sz w:val="18"/>
          <w:szCs w:val="18"/>
          <w:b w:val="1"/>
          <w:bCs w:val="1"/>
          <w:color w:val="auto"/>
        </w:rPr>
        <w:t>EIN: 36-4412642 Plan Number: 002</w:t>
      </w:r>
    </w:p>
    <w:p>
      <w:pPr>
        <w:spacing w:after="0" w:line="36" w:lineRule="exact"/>
        <w:rPr>
          <w:sz w:val="20"/>
          <w:szCs w:val="20"/>
          <w:color w:val="auto"/>
        </w:rPr>
      </w:pPr>
    </w:p>
    <w:p>
      <w:pPr>
        <w:jc w:val="center"/>
        <w:ind w:left="2420"/>
        <w:spacing w:after="0"/>
        <w:rPr>
          <w:sz w:val="20"/>
          <w:szCs w:val="20"/>
          <w:color w:val="auto"/>
        </w:rPr>
      </w:pPr>
      <w:r>
        <w:rPr>
          <w:rFonts w:ascii="Arial" w:cs="Arial" w:eastAsia="Arial" w:hAnsi="Arial"/>
          <w:sz w:val="17"/>
          <w:szCs w:val="17"/>
          <w:color w:val="auto"/>
        </w:rPr>
        <w:t>Form 5500 Schedule H, Part IV, Line 4i – Schedule of Assets (Held at End of Year)</w:t>
      </w:r>
    </w:p>
    <w:p>
      <w:pPr>
        <w:spacing w:after="0" w:line="48" w:lineRule="exact"/>
        <w:rPr>
          <w:sz w:val="20"/>
          <w:szCs w:val="20"/>
          <w:color w:val="auto"/>
        </w:rPr>
      </w:pPr>
    </w:p>
    <w:p>
      <w:pPr>
        <w:jc w:val="center"/>
        <w:ind w:left="2420"/>
        <w:spacing w:after="0"/>
        <w:rPr>
          <w:sz w:val="20"/>
          <w:szCs w:val="20"/>
          <w:color w:val="auto"/>
        </w:rPr>
      </w:pPr>
      <w:r>
        <w:rPr>
          <w:rFonts w:ascii="Arial" w:cs="Arial" w:eastAsia="Arial" w:hAnsi="Arial"/>
          <w:sz w:val="18"/>
          <w:szCs w:val="18"/>
          <w:color w:val="auto"/>
        </w:rPr>
        <w:t>December 31, 2018</w:t>
      </w:r>
    </w:p>
    <w:p>
      <w:pPr>
        <w:spacing w:after="0" w:line="42" w:lineRule="exact"/>
        <w:rPr>
          <w:sz w:val="20"/>
          <w:szCs w:val="20"/>
          <w:color w:val="auto"/>
        </w:rPr>
      </w:pPr>
    </w:p>
    <w:p>
      <w:pPr>
        <w:ind w:left="5260"/>
        <w:spacing w:after="0"/>
        <w:rPr>
          <w:sz w:val="20"/>
          <w:szCs w:val="20"/>
          <w:color w:val="auto"/>
        </w:rPr>
      </w:pPr>
      <w:r>
        <w:rPr>
          <w:rFonts w:ascii="Arial" w:cs="Arial" w:eastAsia="Arial" w:hAnsi="Arial"/>
          <w:sz w:val="14"/>
          <w:szCs w:val="14"/>
          <w:color w:val="auto"/>
        </w:rPr>
        <w:t>(In thousands)</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b w:val="1"/>
                <w:bCs w:val="1"/>
                <w:color w:val="auto"/>
              </w:rPr>
              <w:t>(b) Identity of issue, borrower, lessor, or similar</w:t>
            </w:r>
          </w:p>
        </w:tc>
        <w:tc>
          <w:tcPr>
            <w:tcW w:w="4900" w:type="dxa"/>
            <w:vAlign w:val="bottom"/>
          </w:tcPr>
          <w:p>
            <w:pPr>
              <w:ind w:left="20"/>
              <w:spacing w:after="0"/>
              <w:rPr>
                <w:sz w:val="20"/>
                <w:szCs w:val="20"/>
                <w:color w:val="auto"/>
              </w:rPr>
            </w:pPr>
            <w:r>
              <w:rPr>
                <w:rFonts w:ascii="Arial" w:cs="Arial" w:eastAsia="Arial" w:hAnsi="Arial"/>
                <w:sz w:val="14"/>
                <w:szCs w:val="14"/>
                <w:b w:val="1"/>
                <w:bCs w:val="1"/>
                <w:color w:val="auto"/>
              </w:rPr>
              <w:t>(c) Description of investment including maturity date, rate of interest,</w:t>
            </w:r>
          </w:p>
        </w:tc>
        <w:tc>
          <w:tcPr>
            <w:tcW w:w="0" w:type="dxa"/>
            <w:vAlign w:val="bottom"/>
          </w:tcPr>
          <w:p>
            <w:pPr>
              <w:spacing w:after="0"/>
              <w:rPr>
                <w:sz w:val="1"/>
                <w:szCs w:val="1"/>
                <w:color w:val="auto"/>
              </w:rPr>
            </w:pPr>
          </w:p>
        </w:tc>
      </w:tr>
      <w:tr>
        <w:trPr>
          <w:trHeight w:val="196"/>
        </w:trPr>
        <w:tc>
          <w:tcPr>
            <w:tcW w:w="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(a)</w:t>
            </w:r>
          </w:p>
        </w:tc>
        <w:tc>
          <w:tcPr>
            <w:tcW w:w="120" w:type="dxa"/>
            <w:vAlign w:val="bottom"/>
          </w:tcPr>
          <w:p>
            <w:pPr>
              <w:spacing w:after="0"/>
              <w:rPr>
                <w:sz w:val="17"/>
                <w:szCs w:val="17"/>
                <w:color w:val="auto"/>
              </w:rPr>
            </w:pPr>
          </w:p>
        </w:tc>
        <w:tc>
          <w:tcPr>
            <w:tcW w:w="35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party</w:t>
            </w:r>
          </w:p>
        </w:tc>
        <w:tc>
          <w:tcPr>
            <w:tcW w:w="120" w:type="dxa"/>
            <w:vAlign w:val="bottom"/>
          </w:tcPr>
          <w:p>
            <w:pPr>
              <w:spacing w:after="0"/>
              <w:rPr>
                <w:sz w:val="17"/>
                <w:szCs w:val="17"/>
                <w:color w:val="auto"/>
              </w:rPr>
            </w:pPr>
          </w:p>
        </w:tc>
        <w:tc>
          <w:tcPr>
            <w:tcW w:w="49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collateral, par, or maturity value</w:t>
            </w:r>
          </w:p>
        </w:tc>
        <w:tc>
          <w:tcPr>
            <w:tcW w:w="0" w:type="dxa"/>
            <w:vAlign w:val="bottom"/>
          </w:tcPr>
          <w:p>
            <w:pPr>
              <w:spacing w:after="0"/>
              <w:rPr>
                <w:sz w:val="1"/>
                <w:szCs w:val="1"/>
                <w:color w:val="auto"/>
              </w:rPr>
            </w:pPr>
          </w:p>
        </w:tc>
      </w:tr>
      <w:tr>
        <w:trPr>
          <w:trHeight w:val="204"/>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FTI Stock Fund</w:t>
            </w:r>
          </w:p>
        </w:tc>
        <w:tc>
          <w:tcPr>
            <w:tcW w:w="4900" w:type="dxa"/>
            <w:vAlign w:val="bottom"/>
          </w:tcPr>
          <w:p>
            <w:pPr>
              <w:ind w:left="20"/>
              <w:spacing w:after="0"/>
              <w:rPr>
                <w:sz w:val="20"/>
                <w:szCs w:val="20"/>
                <w:color w:val="auto"/>
              </w:rPr>
            </w:pPr>
            <w:r>
              <w:rPr>
                <w:rFonts w:ascii="Arial" w:cs="Arial" w:eastAsia="Arial" w:hAnsi="Arial"/>
                <w:sz w:val="14"/>
                <w:szCs w:val="14"/>
                <w:color w:val="auto"/>
              </w:rPr>
              <w:t>FTI Ordinary Shares</w:t>
            </w:r>
          </w:p>
        </w:tc>
        <w:tc>
          <w:tcPr>
            <w:tcW w:w="0" w:type="dxa"/>
            <w:vAlign w:val="bottom"/>
          </w:tcPr>
          <w:p>
            <w:pPr>
              <w:spacing w:after="0"/>
              <w:rPr>
                <w:sz w:val="1"/>
                <w:szCs w:val="1"/>
                <w:color w:val="auto"/>
              </w:rPr>
            </w:pPr>
          </w:p>
        </w:tc>
      </w:tr>
      <w:tr>
        <w:trPr>
          <w:trHeight w:val="257"/>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Institutional Money Market Fund</w:t>
            </w:r>
          </w:p>
        </w:tc>
        <w:tc>
          <w:tcPr>
            <w:tcW w:w="4900" w:type="dxa"/>
            <w:vAlign w:val="bottom"/>
          </w:tcPr>
          <w:p>
            <w:pPr>
              <w:ind w:left="20"/>
              <w:spacing w:after="0"/>
              <w:rPr>
                <w:sz w:val="20"/>
                <w:szCs w:val="20"/>
                <w:color w:val="auto"/>
              </w:rPr>
            </w:pPr>
            <w:r>
              <w:rPr>
                <w:rFonts w:ascii="Arial" w:cs="Arial" w:eastAsia="Arial" w:hAnsi="Arial"/>
                <w:sz w:val="14"/>
                <w:szCs w:val="14"/>
                <w:color w:val="auto"/>
              </w:rPr>
              <w:t>Interest-Bearing Cash</w:t>
            </w:r>
          </w:p>
        </w:tc>
        <w:tc>
          <w:tcPr>
            <w:tcW w:w="0" w:type="dxa"/>
            <w:vAlign w:val="bottom"/>
          </w:tcPr>
          <w:p>
            <w:pPr>
              <w:spacing w:after="0"/>
              <w:rPr>
                <w:sz w:val="1"/>
                <w:szCs w:val="1"/>
                <w:color w:val="auto"/>
              </w:rPr>
            </w:pPr>
          </w:p>
        </w:tc>
      </w:tr>
      <w:tr>
        <w:trPr>
          <w:trHeight w:val="260"/>
        </w:trPr>
        <w:tc>
          <w:tcPr>
            <w:tcW w:w="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Dimensional Fund Advisors U.S. Large Cap Value</w:t>
            </w:r>
          </w:p>
        </w:tc>
        <w:tc>
          <w:tcPr>
            <w:tcW w:w="4900" w:type="dxa"/>
            <w:vAlign w:val="bottom"/>
          </w:tcPr>
          <w:p>
            <w:pPr>
              <w:ind w:left="20"/>
              <w:spacing w:after="0"/>
              <w:rPr>
                <w:sz w:val="20"/>
                <w:szCs w:val="20"/>
                <w:color w:val="auto"/>
              </w:rPr>
            </w:pPr>
            <w:r>
              <w:rPr>
                <w:rFonts w:ascii="Arial" w:cs="Arial" w:eastAsia="Arial" w:hAnsi="Arial"/>
                <w:sz w:val="14"/>
                <w:szCs w:val="14"/>
                <w:color w:val="auto"/>
              </w:rPr>
              <w:t>Large Cap Value Fund</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Portfolio</w:t>
            </w:r>
          </w:p>
        </w:tc>
        <w:tc>
          <w:tcPr>
            <w:tcW w:w="4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Congress Asset Mid Cap Growth Fund Institutional</w:t>
            </w:r>
          </w:p>
        </w:tc>
        <w:tc>
          <w:tcPr>
            <w:tcW w:w="4900" w:type="dxa"/>
            <w:vAlign w:val="bottom"/>
          </w:tcPr>
          <w:p>
            <w:pPr>
              <w:ind w:left="20"/>
              <w:spacing w:after="0"/>
              <w:rPr>
                <w:sz w:val="20"/>
                <w:szCs w:val="20"/>
                <w:color w:val="auto"/>
              </w:rPr>
            </w:pPr>
            <w:r>
              <w:rPr>
                <w:rFonts w:ascii="Arial" w:cs="Arial" w:eastAsia="Arial" w:hAnsi="Arial"/>
                <w:sz w:val="14"/>
                <w:szCs w:val="14"/>
                <w:color w:val="auto"/>
              </w:rPr>
              <w:t>Mid Cap Growth Fund</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Class</w:t>
            </w:r>
          </w:p>
        </w:tc>
        <w:tc>
          <w:tcPr>
            <w:tcW w:w="4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6"/>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Dimensional Fund Advisors U.S. Targeted Value</w:t>
            </w:r>
          </w:p>
        </w:tc>
        <w:tc>
          <w:tcPr>
            <w:tcW w:w="4900" w:type="dxa"/>
            <w:vAlign w:val="bottom"/>
          </w:tcPr>
          <w:p>
            <w:pPr>
              <w:ind w:left="20"/>
              <w:spacing w:after="0"/>
              <w:rPr>
                <w:sz w:val="20"/>
                <w:szCs w:val="20"/>
                <w:color w:val="auto"/>
              </w:rPr>
            </w:pPr>
            <w:r>
              <w:rPr>
                <w:rFonts w:ascii="Arial" w:cs="Arial" w:eastAsia="Arial" w:hAnsi="Arial"/>
                <w:sz w:val="14"/>
                <w:szCs w:val="14"/>
                <w:color w:val="auto"/>
              </w:rPr>
              <w:t>Small Cap Value Fund</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Portfolio</w:t>
            </w:r>
          </w:p>
        </w:tc>
        <w:tc>
          <w:tcPr>
            <w:tcW w:w="4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Rice Hall James Small Cap Portfolio Institutional Class</w:t>
            </w:r>
          </w:p>
        </w:tc>
        <w:tc>
          <w:tcPr>
            <w:tcW w:w="4900" w:type="dxa"/>
            <w:vAlign w:val="bottom"/>
          </w:tcPr>
          <w:p>
            <w:pPr>
              <w:ind w:left="20"/>
              <w:spacing w:after="0"/>
              <w:rPr>
                <w:sz w:val="20"/>
                <w:szCs w:val="20"/>
                <w:color w:val="auto"/>
              </w:rPr>
            </w:pPr>
            <w:r>
              <w:rPr>
                <w:rFonts w:ascii="Arial" w:cs="Arial" w:eastAsia="Arial" w:hAnsi="Arial"/>
                <w:sz w:val="14"/>
                <w:szCs w:val="14"/>
                <w:color w:val="auto"/>
              </w:rPr>
              <w:t>Small Cap Equity Fund</w:t>
            </w:r>
          </w:p>
        </w:tc>
        <w:tc>
          <w:tcPr>
            <w:tcW w:w="0" w:type="dxa"/>
            <w:vAlign w:val="bottom"/>
          </w:tcPr>
          <w:p>
            <w:pPr>
              <w:spacing w:after="0"/>
              <w:rPr>
                <w:sz w:val="1"/>
                <w:szCs w:val="1"/>
                <w:color w:val="auto"/>
              </w:rPr>
            </w:pPr>
          </w:p>
        </w:tc>
      </w:tr>
      <w:tr>
        <w:trPr>
          <w:trHeight w:val="270"/>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Blue Chip Growth K6 Fund</w:t>
            </w:r>
          </w:p>
        </w:tc>
        <w:tc>
          <w:tcPr>
            <w:tcW w:w="4900" w:type="dxa"/>
            <w:vAlign w:val="bottom"/>
          </w:tcPr>
          <w:p>
            <w:pPr>
              <w:ind w:left="20"/>
              <w:spacing w:after="0"/>
              <w:rPr>
                <w:sz w:val="20"/>
                <w:szCs w:val="20"/>
                <w:color w:val="auto"/>
              </w:rPr>
            </w:pPr>
            <w:r>
              <w:rPr>
                <w:rFonts w:ascii="Arial" w:cs="Arial" w:eastAsia="Arial" w:hAnsi="Arial"/>
                <w:sz w:val="14"/>
                <w:szCs w:val="14"/>
                <w:color w:val="auto"/>
              </w:rPr>
              <w:t>Blue Chip Companies Equity Fund</w:t>
            </w:r>
          </w:p>
        </w:tc>
        <w:tc>
          <w:tcPr>
            <w:tcW w:w="0" w:type="dxa"/>
            <w:vAlign w:val="bottom"/>
          </w:tcPr>
          <w:p>
            <w:pPr>
              <w:spacing w:after="0"/>
              <w:rPr>
                <w:sz w:val="1"/>
                <w:szCs w:val="1"/>
                <w:color w:val="auto"/>
              </w:rPr>
            </w:pPr>
          </w:p>
        </w:tc>
      </w:tr>
      <w:tr>
        <w:trPr>
          <w:trHeight w:val="270"/>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Low-Priced Stock K6</w:t>
            </w:r>
          </w:p>
        </w:tc>
        <w:tc>
          <w:tcPr>
            <w:tcW w:w="4900" w:type="dxa"/>
            <w:vAlign w:val="bottom"/>
          </w:tcPr>
          <w:p>
            <w:pPr>
              <w:ind w:left="20"/>
              <w:spacing w:after="0"/>
              <w:rPr>
                <w:sz w:val="20"/>
                <w:szCs w:val="20"/>
                <w:color w:val="auto"/>
              </w:rPr>
            </w:pPr>
            <w:r>
              <w:rPr>
                <w:rFonts w:ascii="Arial" w:cs="Arial" w:eastAsia="Arial" w:hAnsi="Arial"/>
                <w:sz w:val="14"/>
                <w:szCs w:val="14"/>
                <w:color w:val="auto"/>
              </w:rPr>
              <w:t>Low-priced Stocks Fund</w:t>
            </w:r>
          </w:p>
        </w:tc>
        <w:tc>
          <w:tcPr>
            <w:tcW w:w="0" w:type="dxa"/>
            <w:vAlign w:val="bottom"/>
          </w:tcPr>
          <w:p>
            <w:pPr>
              <w:spacing w:after="0"/>
              <w:rPr>
                <w:sz w:val="1"/>
                <w:szCs w:val="1"/>
                <w:color w:val="auto"/>
              </w:rPr>
            </w:pPr>
          </w:p>
        </w:tc>
      </w:tr>
      <w:tr>
        <w:trPr>
          <w:trHeight w:val="270"/>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Diversified International K6 Fund</w:t>
            </w:r>
          </w:p>
        </w:tc>
        <w:tc>
          <w:tcPr>
            <w:tcW w:w="4900" w:type="dxa"/>
            <w:vAlign w:val="bottom"/>
          </w:tcPr>
          <w:p>
            <w:pPr>
              <w:ind w:left="20"/>
              <w:spacing w:after="0"/>
              <w:rPr>
                <w:sz w:val="20"/>
                <w:szCs w:val="20"/>
                <w:color w:val="auto"/>
              </w:rPr>
            </w:pPr>
            <w:r>
              <w:rPr>
                <w:rFonts w:ascii="Arial" w:cs="Arial" w:eastAsia="Arial" w:hAnsi="Arial"/>
                <w:sz w:val="14"/>
                <w:szCs w:val="14"/>
                <w:color w:val="auto"/>
              </w:rPr>
              <w:t>International Equity Fund</w:t>
            </w:r>
          </w:p>
        </w:tc>
        <w:tc>
          <w:tcPr>
            <w:tcW w:w="0" w:type="dxa"/>
            <w:vAlign w:val="bottom"/>
          </w:tcPr>
          <w:p>
            <w:pPr>
              <w:spacing w:after="0"/>
              <w:rPr>
                <w:sz w:val="1"/>
                <w:szCs w:val="1"/>
                <w:color w:val="auto"/>
              </w:rPr>
            </w:pPr>
          </w:p>
        </w:tc>
      </w:tr>
      <w:tr>
        <w:trPr>
          <w:trHeight w:val="270"/>
        </w:trPr>
        <w:tc>
          <w:tcPr>
            <w:tcW w:w="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PIMCO Total Return Fund Institutional Class</w:t>
            </w:r>
          </w:p>
        </w:tc>
        <w:tc>
          <w:tcPr>
            <w:tcW w:w="4900" w:type="dxa"/>
            <w:vAlign w:val="bottom"/>
          </w:tcPr>
          <w:p>
            <w:pPr>
              <w:ind w:left="20"/>
              <w:spacing w:after="0"/>
              <w:rPr>
                <w:sz w:val="20"/>
                <w:szCs w:val="20"/>
                <w:color w:val="auto"/>
              </w:rPr>
            </w:pPr>
            <w:r>
              <w:rPr>
                <w:rFonts w:ascii="Arial" w:cs="Arial" w:eastAsia="Arial" w:hAnsi="Arial"/>
                <w:sz w:val="14"/>
                <w:szCs w:val="14"/>
                <w:color w:val="auto"/>
              </w:rPr>
              <w:t>Intermediate-Term Bond Fund</w:t>
            </w:r>
          </w:p>
        </w:tc>
        <w:tc>
          <w:tcPr>
            <w:tcW w:w="0" w:type="dxa"/>
            <w:vAlign w:val="bottom"/>
          </w:tcPr>
          <w:p>
            <w:pPr>
              <w:spacing w:after="0"/>
              <w:rPr>
                <w:sz w:val="1"/>
                <w:szCs w:val="1"/>
                <w:color w:val="auto"/>
              </w:rPr>
            </w:pPr>
          </w:p>
        </w:tc>
      </w:tr>
      <w:tr>
        <w:trPr>
          <w:trHeight w:val="270"/>
        </w:trPr>
        <w:tc>
          <w:tcPr>
            <w:tcW w:w="2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Dreyfus International Bond Fund Class Y</w:t>
            </w:r>
          </w:p>
        </w:tc>
        <w:tc>
          <w:tcPr>
            <w:tcW w:w="4900" w:type="dxa"/>
            <w:vAlign w:val="bottom"/>
          </w:tcPr>
          <w:p>
            <w:pPr>
              <w:ind w:left="20"/>
              <w:spacing w:after="0"/>
              <w:rPr>
                <w:sz w:val="20"/>
                <w:szCs w:val="20"/>
                <w:color w:val="auto"/>
              </w:rPr>
            </w:pPr>
            <w:r>
              <w:rPr>
                <w:rFonts w:ascii="Arial" w:cs="Arial" w:eastAsia="Arial" w:hAnsi="Arial"/>
                <w:sz w:val="14"/>
                <w:szCs w:val="14"/>
                <w:color w:val="auto"/>
              </w:rPr>
              <w:t>Intermediate-Term Bond Fund</w:t>
            </w:r>
          </w:p>
        </w:tc>
        <w:tc>
          <w:tcPr>
            <w:tcW w:w="0" w:type="dxa"/>
            <w:vAlign w:val="bottom"/>
          </w:tcPr>
          <w:p>
            <w:pPr>
              <w:spacing w:after="0"/>
              <w:rPr>
                <w:sz w:val="1"/>
                <w:szCs w:val="1"/>
                <w:color w:val="auto"/>
              </w:rPr>
            </w:pPr>
          </w:p>
        </w:tc>
      </w:tr>
      <w:tr>
        <w:trPr>
          <w:trHeight w:val="270"/>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3"/>
                <w:szCs w:val="23"/>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500 Index Fund</w:t>
            </w:r>
          </w:p>
        </w:tc>
        <w:tc>
          <w:tcPr>
            <w:tcW w:w="4900" w:type="dxa"/>
            <w:vAlign w:val="bottom"/>
          </w:tcPr>
          <w:p>
            <w:pPr>
              <w:ind w:left="20"/>
              <w:spacing w:after="0"/>
              <w:rPr>
                <w:sz w:val="20"/>
                <w:szCs w:val="20"/>
                <w:color w:val="auto"/>
              </w:rPr>
            </w:pPr>
            <w:r>
              <w:rPr>
                <w:rFonts w:ascii="Arial" w:cs="Arial" w:eastAsia="Arial" w:hAnsi="Arial"/>
                <w:sz w:val="14"/>
                <w:szCs w:val="14"/>
                <w:color w:val="auto"/>
              </w:rPr>
              <w:t>Index Fund invested in stocks included in the S&amp;P 500 Index</w:t>
            </w:r>
          </w:p>
        </w:tc>
        <w:tc>
          <w:tcPr>
            <w:tcW w:w="0" w:type="dxa"/>
            <w:vAlign w:val="bottom"/>
          </w:tcPr>
          <w:p>
            <w:pPr>
              <w:spacing w:after="0"/>
              <w:rPr>
                <w:sz w:val="1"/>
                <w:szCs w:val="1"/>
                <w:color w:val="auto"/>
              </w:rPr>
            </w:pPr>
          </w:p>
        </w:tc>
      </w:tr>
      <w:tr>
        <w:trPr>
          <w:trHeight w:val="260"/>
        </w:trPr>
        <w:tc>
          <w:tcPr>
            <w:tcW w:w="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Vanguard Real Estate Index Fund</w:t>
            </w:r>
          </w:p>
        </w:tc>
        <w:tc>
          <w:tcPr>
            <w:tcW w:w="4900" w:type="dxa"/>
            <w:vAlign w:val="bottom"/>
          </w:tcPr>
          <w:p>
            <w:pPr>
              <w:ind w:left="20"/>
              <w:spacing w:after="0"/>
              <w:rPr>
                <w:sz w:val="20"/>
                <w:szCs w:val="20"/>
                <w:color w:val="auto"/>
              </w:rPr>
            </w:pPr>
            <w:r>
              <w:rPr>
                <w:rFonts w:ascii="Arial" w:cs="Arial" w:eastAsia="Arial" w:hAnsi="Arial"/>
                <w:sz w:val="14"/>
                <w:szCs w:val="14"/>
                <w:color w:val="auto"/>
              </w:rPr>
              <w:t>Index Fund designed to track the performance of the MSCI US Investable</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Market Real Estate 25/50 Transition Index</w:t>
            </w:r>
          </w:p>
        </w:tc>
        <w:tc>
          <w:tcPr>
            <w:tcW w:w="0" w:type="dxa"/>
            <w:vAlign w:val="bottom"/>
          </w:tcPr>
          <w:p>
            <w:pPr>
              <w:spacing w:after="0"/>
              <w:rPr>
                <w:sz w:val="1"/>
                <w:szCs w:val="1"/>
                <w:color w:val="auto"/>
              </w:rPr>
            </w:pPr>
          </w:p>
        </w:tc>
      </w:tr>
      <w:tr>
        <w:trPr>
          <w:trHeight w:val="216"/>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8"/>
                <w:szCs w:val="18"/>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Extended Market Index</w:t>
            </w:r>
          </w:p>
        </w:tc>
        <w:tc>
          <w:tcPr>
            <w:tcW w:w="4900" w:type="dxa"/>
            <w:vAlign w:val="bottom"/>
          </w:tcPr>
          <w:p>
            <w:pPr>
              <w:ind w:left="20"/>
              <w:spacing w:after="0"/>
              <w:rPr>
                <w:sz w:val="20"/>
                <w:szCs w:val="20"/>
                <w:color w:val="auto"/>
              </w:rPr>
            </w:pPr>
            <w:r>
              <w:rPr>
                <w:rFonts w:ascii="Arial" w:cs="Arial" w:eastAsia="Arial" w:hAnsi="Arial"/>
                <w:sz w:val="14"/>
                <w:szCs w:val="14"/>
                <w:color w:val="auto"/>
              </w:rPr>
              <w:t>Index Fund invested in Mid Cap and Small Cap Equity Fund</w:t>
            </w:r>
          </w:p>
        </w:tc>
        <w:tc>
          <w:tcPr>
            <w:tcW w:w="0" w:type="dxa"/>
            <w:vAlign w:val="bottom"/>
          </w:tcPr>
          <w:p>
            <w:pPr>
              <w:spacing w:after="0"/>
              <w:rPr>
                <w:sz w:val="1"/>
                <w:szCs w:val="1"/>
                <w:color w:val="auto"/>
              </w:rPr>
            </w:pPr>
          </w:p>
        </w:tc>
      </w:tr>
      <w:tr>
        <w:trPr>
          <w:trHeight w:val="287"/>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Total International Index Fund</w:t>
            </w:r>
          </w:p>
        </w:tc>
        <w:tc>
          <w:tcPr>
            <w:tcW w:w="4900" w:type="dxa"/>
            <w:vAlign w:val="bottom"/>
          </w:tcPr>
          <w:p>
            <w:pPr>
              <w:ind w:left="20"/>
              <w:spacing w:after="0"/>
              <w:rPr>
                <w:sz w:val="20"/>
                <w:szCs w:val="20"/>
                <w:color w:val="auto"/>
              </w:rPr>
            </w:pPr>
            <w:r>
              <w:rPr>
                <w:rFonts w:ascii="Arial" w:cs="Arial" w:eastAsia="Arial" w:hAnsi="Arial"/>
                <w:sz w:val="14"/>
                <w:szCs w:val="14"/>
                <w:color w:val="auto"/>
              </w:rPr>
              <w:t>Index Fund invested in securities included in the MSCI ACWI (All Country</w:t>
            </w:r>
          </w:p>
        </w:tc>
        <w:tc>
          <w:tcPr>
            <w:tcW w:w="0" w:type="dxa"/>
            <w:vAlign w:val="bottom"/>
          </w:tcPr>
          <w:p>
            <w:pPr>
              <w:spacing w:after="0"/>
              <w:rPr>
                <w:sz w:val="1"/>
                <w:szCs w:val="1"/>
                <w:color w:val="auto"/>
              </w:rPr>
            </w:pPr>
          </w:p>
        </w:tc>
      </w:tr>
      <w:tr>
        <w:trPr>
          <w:trHeight w:val="16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World Index) ex USA Investable Market Index and in depository receipts</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representing securities included in the index.</w:t>
            </w:r>
          </w:p>
        </w:tc>
        <w:tc>
          <w:tcPr>
            <w:tcW w:w="0" w:type="dxa"/>
            <w:vAlign w:val="bottom"/>
          </w:tcPr>
          <w:p>
            <w:pPr>
              <w:spacing w:after="0"/>
              <w:rPr>
                <w:sz w:val="1"/>
                <w:szCs w:val="1"/>
                <w:color w:val="auto"/>
              </w:rPr>
            </w:pPr>
          </w:p>
        </w:tc>
      </w:tr>
      <w:tr>
        <w:trPr>
          <w:trHeight w:val="206"/>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Vanguard Short-Term Inflation - Protected Securities</w:t>
            </w:r>
          </w:p>
        </w:tc>
        <w:tc>
          <w:tcPr>
            <w:tcW w:w="4900" w:type="dxa"/>
            <w:vAlign w:val="bottom"/>
          </w:tcPr>
          <w:p>
            <w:pPr>
              <w:ind w:left="20"/>
              <w:spacing w:after="0"/>
              <w:rPr>
                <w:sz w:val="20"/>
                <w:szCs w:val="20"/>
                <w:color w:val="auto"/>
              </w:rPr>
            </w:pPr>
            <w:r>
              <w:rPr>
                <w:rFonts w:ascii="Arial" w:cs="Arial" w:eastAsia="Arial" w:hAnsi="Arial"/>
                <w:sz w:val="14"/>
                <w:szCs w:val="14"/>
                <w:color w:val="auto"/>
              </w:rPr>
              <w:t>Index Fund designed to track the performance of the Bloomberg Barclays</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Index Fund Institutional Shares</w:t>
            </w:r>
          </w:p>
        </w:tc>
        <w:tc>
          <w:tcPr>
            <w:tcW w:w="4900" w:type="dxa"/>
            <w:vAlign w:val="bottom"/>
          </w:tcPr>
          <w:p>
            <w:pPr>
              <w:ind w:left="20"/>
              <w:spacing w:after="0"/>
              <w:rPr>
                <w:sz w:val="20"/>
                <w:szCs w:val="20"/>
                <w:color w:val="auto"/>
              </w:rPr>
            </w:pPr>
            <w:r>
              <w:rPr>
                <w:rFonts w:ascii="Arial" w:cs="Arial" w:eastAsia="Arial" w:hAnsi="Arial"/>
                <w:sz w:val="14"/>
                <w:szCs w:val="14"/>
                <w:color w:val="auto"/>
              </w:rPr>
              <w:t>U.S. Treasury Inflation-Protected Securities (TIPS) 0-5 Year Index.</w:t>
            </w: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FiduciaryVest Target Date Funds:</w:t>
            </w:r>
          </w:p>
        </w:tc>
        <w:tc>
          <w:tcPr>
            <w:tcW w:w="4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2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Target Retire Income Fund</w:t>
            </w:r>
          </w:p>
        </w:tc>
        <w:tc>
          <w:tcPr>
            <w:tcW w:w="4900" w:type="dxa"/>
            <w:vAlign w:val="bottom"/>
          </w:tcPr>
          <w:p>
            <w:pPr>
              <w:ind w:left="20"/>
              <w:spacing w:after="0"/>
              <w:rPr>
                <w:sz w:val="20"/>
                <w:szCs w:val="20"/>
                <w:color w:val="auto"/>
              </w:rPr>
            </w:pPr>
            <w:r>
              <w:rPr>
                <w:rFonts w:ascii="Arial" w:cs="Arial" w:eastAsia="Arial" w:hAnsi="Arial"/>
                <w:sz w:val="14"/>
                <w:szCs w:val="14"/>
                <w:color w:val="auto"/>
              </w:rPr>
              <w:t>Asset allocation blended funds, which invest the available Plan investment</w:t>
            </w:r>
          </w:p>
        </w:tc>
        <w:tc>
          <w:tcPr>
            <w:tcW w:w="0" w:type="dxa"/>
            <w:vAlign w:val="bottom"/>
          </w:tcPr>
          <w:p>
            <w:pPr>
              <w:spacing w:after="0"/>
              <w:rPr>
                <w:sz w:val="1"/>
                <w:szCs w:val="1"/>
                <w:color w:val="auto"/>
              </w:rPr>
            </w:pPr>
          </w:p>
        </w:tc>
      </w:tr>
      <w:tr>
        <w:trPr>
          <w:trHeight w:val="76"/>
        </w:trPr>
        <w:tc>
          <w:tcPr>
            <w:tcW w:w="2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4900" w:type="dxa"/>
            <w:vAlign w:val="bottom"/>
            <w:vMerge w:val="restart"/>
          </w:tcPr>
          <w:p>
            <w:pPr>
              <w:ind w:left="20"/>
              <w:spacing w:after="0"/>
              <w:rPr>
                <w:sz w:val="20"/>
                <w:szCs w:val="20"/>
                <w:color w:val="auto"/>
              </w:rPr>
            </w:pPr>
            <w:r>
              <w:rPr>
                <w:rFonts w:ascii="Arial" w:cs="Arial" w:eastAsia="Arial" w:hAnsi="Arial"/>
                <w:sz w:val="14"/>
                <w:szCs w:val="14"/>
                <w:color w:val="auto"/>
              </w:rPr>
              <w:t>options basing asset allocation on a target retirement date.</w:t>
            </w:r>
          </w:p>
        </w:tc>
        <w:tc>
          <w:tcPr>
            <w:tcW w:w="0" w:type="dxa"/>
            <w:vAlign w:val="bottom"/>
          </w:tcPr>
          <w:p>
            <w:pPr>
              <w:spacing w:after="0"/>
              <w:rPr>
                <w:sz w:val="1"/>
                <w:szCs w:val="1"/>
                <w:color w:val="auto"/>
              </w:rPr>
            </w:pPr>
          </w:p>
        </w:tc>
      </w:tr>
      <w:tr>
        <w:trPr>
          <w:trHeight w:val="96"/>
        </w:trPr>
        <w:tc>
          <w:tcPr>
            <w:tcW w:w="260" w:type="dxa"/>
            <w:vAlign w:val="bottom"/>
            <w:shd w:val="clear" w:color="auto" w:fill="CCEEFF"/>
          </w:tcPr>
          <w:p>
            <w:pPr>
              <w:spacing w:after="0"/>
              <w:rPr>
                <w:sz w:val="8"/>
                <w:szCs w:val="8"/>
                <w:color w:val="auto"/>
              </w:rPr>
            </w:pPr>
          </w:p>
        </w:tc>
        <w:tc>
          <w:tcPr>
            <w:tcW w:w="120" w:type="dxa"/>
            <w:vAlign w:val="bottom"/>
            <w:shd w:val="clear" w:color="auto" w:fill="CCEEFF"/>
          </w:tcPr>
          <w:p>
            <w:pPr>
              <w:spacing w:after="0"/>
              <w:rPr>
                <w:sz w:val="8"/>
                <w:szCs w:val="8"/>
                <w:color w:val="auto"/>
              </w:rPr>
            </w:pPr>
          </w:p>
        </w:tc>
        <w:tc>
          <w:tcPr>
            <w:tcW w:w="3660" w:type="dxa"/>
            <w:vAlign w:val="bottom"/>
            <w:gridSpan w:val="2"/>
            <w:vMerge w:val="restart"/>
            <w:shd w:val="clear" w:color="auto" w:fill="CCEEFF"/>
          </w:tcPr>
          <w:p>
            <w:pPr>
              <w:ind w:left="40"/>
              <w:spacing w:after="0"/>
              <w:rPr>
                <w:sz w:val="20"/>
                <w:szCs w:val="20"/>
                <w:color w:val="auto"/>
              </w:rPr>
            </w:pPr>
            <w:r>
              <w:rPr>
                <w:rFonts w:ascii="Arial" w:cs="Arial" w:eastAsia="Arial" w:hAnsi="Arial"/>
                <w:sz w:val="14"/>
                <w:szCs w:val="14"/>
                <w:color w:val="auto"/>
              </w:rPr>
              <w:t>Target Retire 2020 Fund</w:t>
            </w:r>
          </w:p>
        </w:tc>
        <w:tc>
          <w:tcPr>
            <w:tcW w:w="4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8"/>
        </w:trPr>
        <w:tc>
          <w:tcPr>
            <w:tcW w:w="26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3660" w:type="dxa"/>
            <w:vAlign w:val="bottom"/>
            <w:gridSpan w:val="2"/>
            <w:vMerge w:val="continue"/>
            <w:shd w:val="clear" w:color="auto" w:fill="CCEEFF"/>
          </w:tcPr>
          <w:p>
            <w:pPr>
              <w:spacing w:after="0"/>
              <w:rPr>
                <w:sz w:val="9"/>
                <w:szCs w:val="9"/>
                <w:color w:val="auto"/>
              </w:rPr>
            </w:pPr>
          </w:p>
        </w:tc>
        <w:tc>
          <w:tcPr>
            <w:tcW w:w="49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6"/>
        </w:trPr>
        <w:tc>
          <w:tcPr>
            <w:tcW w:w="2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5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Target Retire 2030 Fund</w:t>
            </w:r>
          </w:p>
        </w:tc>
        <w:tc>
          <w:tcPr>
            <w:tcW w:w="4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
        </w:trPr>
        <w:tc>
          <w:tcPr>
            <w:tcW w:w="2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4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Target Retire 2040 Fund</w:t>
            </w:r>
          </w:p>
        </w:tc>
        <w:tc>
          <w:tcPr>
            <w:tcW w:w="4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
        </w:trPr>
        <w:tc>
          <w:tcPr>
            <w:tcW w:w="2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5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Target Retire 2050 Fund</w:t>
            </w:r>
          </w:p>
        </w:tc>
        <w:tc>
          <w:tcPr>
            <w:tcW w:w="4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
        </w:trPr>
        <w:tc>
          <w:tcPr>
            <w:tcW w:w="2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4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2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66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Target Retire 2060 Fund</w:t>
            </w:r>
          </w:p>
        </w:tc>
        <w:tc>
          <w:tcPr>
            <w:tcW w:w="4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
        </w:trPr>
        <w:tc>
          <w:tcPr>
            <w:tcW w:w="26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35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9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4"/>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Managed Income Portfolio Class 1</w:t>
            </w:r>
          </w:p>
        </w:tc>
        <w:tc>
          <w:tcPr>
            <w:tcW w:w="4900" w:type="dxa"/>
            <w:vAlign w:val="bottom"/>
          </w:tcPr>
          <w:p>
            <w:pPr>
              <w:ind w:left="20"/>
              <w:spacing w:after="0"/>
              <w:rPr>
                <w:sz w:val="20"/>
                <w:szCs w:val="20"/>
                <w:color w:val="auto"/>
              </w:rPr>
            </w:pPr>
            <w:r>
              <w:rPr>
                <w:rFonts w:ascii="Arial" w:cs="Arial" w:eastAsia="Arial" w:hAnsi="Arial"/>
                <w:sz w:val="14"/>
                <w:szCs w:val="14"/>
                <w:color w:val="auto"/>
              </w:rPr>
              <w:t>Stable Value Fund – Portfolio includes investment contracts offered by</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major insurance companies and other approved financial institutions.</w:t>
            </w:r>
          </w:p>
        </w:tc>
        <w:tc>
          <w:tcPr>
            <w:tcW w:w="0" w:type="dxa"/>
            <w:vAlign w:val="bottom"/>
          </w:tcPr>
          <w:p>
            <w:pPr>
              <w:spacing w:after="0"/>
              <w:rPr>
                <w:sz w:val="1"/>
                <w:szCs w:val="1"/>
                <w:color w:val="auto"/>
              </w:rPr>
            </w:pPr>
          </w:p>
        </w:tc>
      </w:tr>
      <w:tr>
        <w:trPr>
          <w:trHeight w:val="206"/>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Managed Income Portfolio II CL 2</w:t>
            </w:r>
          </w:p>
        </w:tc>
        <w:tc>
          <w:tcPr>
            <w:tcW w:w="4900" w:type="dxa"/>
            <w:vAlign w:val="bottom"/>
          </w:tcPr>
          <w:p>
            <w:pPr>
              <w:ind w:left="20"/>
              <w:spacing w:after="0"/>
              <w:rPr>
                <w:sz w:val="20"/>
                <w:szCs w:val="20"/>
                <w:color w:val="auto"/>
              </w:rPr>
            </w:pPr>
            <w:r>
              <w:rPr>
                <w:rFonts w:ascii="Arial" w:cs="Arial" w:eastAsia="Arial" w:hAnsi="Arial"/>
                <w:sz w:val="14"/>
                <w:szCs w:val="14"/>
                <w:color w:val="auto"/>
              </w:rPr>
              <w:t>Stable Value Fund – Portfolio includes investment contracts offered by</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major insurance companies and other approved financial institutions.</w:t>
            </w:r>
          </w:p>
        </w:tc>
        <w:tc>
          <w:tcPr>
            <w:tcW w:w="0" w:type="dxa"/>
            <w:vAlign w:val="bottom"/>
          </w:tcPr>
          <w:p>
            <w:pPr>
              <w:spacing w:after="0"/>
              <w:rPr>
                <w:sz w:val="1"/>
                <w:szCs w:val="1"/>
                <w:color w:val="auto"/>
              </w:rPr>
            </w:pPr>
          </w:p>
        </w:tc>
      </w:tr>
      <w:tr>
        <w:trPr>
          <w:trHeight w:val="206"/>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Investments Money Market Government</w:t>
            </w:r>
          </w:p>
        </w:tc>
        <w:tc>
          <w:tcPr>
            <w:tcW w:w="4900" w:type="dxa"/>
            <w:vAlign w:val="bottom"/>
          </w:tcPr>
          <w:p>
            <w:pPr>
              <w:ind w:left="20"/>
              <w:spacing w:after="0"/>
              <w:rPr>
                <w:sz w:val="20"/>
                <w:szCs w:val="20"/>
                <w:color w:val="auto"/>
              </w:rPr>
            </w:pPr>
            <w:r>
              <w:rPr>
                <w:rFonts w:ascii="Arial" w:cs="Arial" w:eastAsia="Arial" w:hAnsi="Arial"/>
                <w:sz w:val="14"/>
                <w:szCs w:val="14"/>
                <w:color w:val="auto"/>
              </w:rPr>
              <w:t>Money Market Fund</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Portfolio - Institutional Class</w:t>
            </w:r>
          </w:p>
        </w:tc>
        <w:tc>
          <w:tcPr>
            <w:tcW w:w="4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Fidelity Brokerage Link</w:t>
            </w:r>
          </w:p>
        </w:tc>
        <w:tc>
          <w:tcPr>
            <w:tcW w:w="4900" w:type="dxa"/>
            <w:vAlign w:val="bottom"/>
          </w:tcPr>
          <w:p>
            <w:pPr>
              <w:ind w:left="20"/>
              <w:spacing w:after="0"/>
              <w:rPr>
                <w:sz w:val="20"/>
                <w:szCs w:val="20"/>
                <w:color w:val="auto"/>
              </w:rPr>
            </w:pPr>
            <w:r>
              <w:rPr>
                <w:rFonts w:ascii="Arial" w:cs="Arial" w:eastAsia="Arial" w:hAnsi="Arial"/>
                <w:sz w:val="14"/>
                <w:szCs w:val="14"/>
                <w:color w:val="auto"/>
              </w:rPr>
              <w:t>Self-directed brokerage account</w:t>
            </w:r>
          </w:p>
        </w:tc>
        <w:tc>
          <w:tcPr>
            <w:tcW w:w="0" w:type="dxa"/>
            <w:vAlign w:val="bottom"/>
          </w:tcPr>
          <w:p>
            <w:pPr>
              <w:spacing w:after="0"/>
              <w:rPr>
                <w:sz w:val="1"/>
                <w:szCs w:val="1"/>
                <w:color w:val="auto"/>
              </w:rPr>
            </w:pPr>
          </w:p>
        </w:tc>
      </w:tr>
      <w:tr>
        <w:trPr>
          <w:trHeight w:val="530"/>
        </w:trPr>
        <w:tc>
          <w:tcPr>
            <w:tcW w:w="260" w:type="dxa"/>
            <w:vAlign w:val="bottom"/>
          </w:tcPr>
          <w:p>
            <w:pPr>
              <w:jc w:val="center"/>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4"/>
                <w:szCs w:val="24"/>
                <w:color w:val="auto"/>
              </w:rPr>
            </w:pPr>
          </w:p>
        </w:tc>
        <w:tc>
          <w:tcPr>
            <w:tcW w:w="3660" w:type="dxa"/>
            <w:vAlign w:val="bottom"/>
            <w:gridSpan w:val="2"/>
          </w:tcPr>
          <w:p>
            <w:pPr>
              <w:ind w:left="40"/>
              <w:spacing w:after="0"/>
              <w:rPr>
                <w:sz w:val="20"/>
                <w:szCs w:val="20"/>
                <w:color w:val="auto"/>
              </w:rPr>
            </w:pPr>
            <w:r>
              <w:rPr>
                <w:rFonts w:ascii="Arial" w:cs="Arial" w:eastAsia="Arial" w:hAnsi="Arial"/>
                <w:sz w:val="14"/>
                <w:szCs w:val="14"/>
                <w:color w:val="auto"/>
              </w:rPr>
              <w:t>Notes receivable from Participants</w:t>
            </w:r>
          </w:p>
        </w:tc>
        <w:tc>
          <w:tcPr>
            <w:tcW w:w="4900" w:type="dxa"/>
            <w:vAlign w:val="bottom"/>
          </w:tcPr>
          <w:p>
            <w:pPr>
              <w:ind w:left="20"/>
              <w:spacing w:after="0"/>
              <w:rPr>
                <w:sz w:val="20"/>
                <w:szCs w:val="20"/>
                <w:color w:val="auto"/>
              </w:rPr>
            </w:pPr>
            <w:r>
              <w:rPr>
                <w:rFonts w:ascii="Arial" w:cs="Arial" w:eastAsia="Arial" w:hAnsi="Arial"/>
                <w:sz w:val="14"/>
                <w:szCs w:val="14"/>
                <w:color w:val="auto"/>
              </w:rPr>
              <w:t>Varying rates of interest ranging from 3.84% to 8.02% with varying maturity</w:t>
            </w:r>
          </w:p>
        </w:tc>
        <w:tc>
          <w:tcPr>
            <w:tcW w:w="0" w:type="dxa"/>
            <w:vAlign w:val="bottom"/>
          </w:tcPr>
          <w:p>
            <w:pPr>
              <w:spacing w:after="0"/>
              <w:rPr>
                <w:sz w:val="1"/>
                <w:szCs w:val="1"/>
                <w:color w:val="auto"/>
              </w:rPr>
            </w:pPr>
          </w:p>
        </w:tc>
      </w:tr>
      <w:tr>
        <w:trPr>
          <w:trHeight w:val="172"/>
        </w:trPr>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900" w:type="dxa"/>
            <w:vAlign w:val="bottom"/>
          </w:tcPr>
          <w:p>
            <w:pPr>
              <w:ind w:left="20"/>
              <w:spacing w:after="0"/>
              <w:rPr>
                <w:sz w:val="20"/>
                <w:szCs w:val="20"/>
                <w:color w:val="auto"/>
              </w:rPr>
            </w:pPr>
            <w:r>
              <w:rPr>
                <w:rFonts w:ascii="Arial" w:cs="Arial" w:eastAsia="Arial" w:hAnsi="Arial"/>
                <w:sz w:val="14"/>
                <w:szCs w:val="14"/>
                <w:color w:val="auto"/>
              </w:rPr>
              <w:t>dates through November 2027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-5428615</wp:posOffset>
            </wp:positionV>
            <wp:extent cx="7246620" cy="2400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-4948555</wp:posOffset>
            </wp:positionV>
            <wp:extent cx="7246620" cy="2400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4662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-4537075</wp:posOffset>
            </wp:positionV>
            <wp:extent cx="7246620"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-4194175</wp:posOffset>
            </wp:positionV>
            <wp:extent cx="72466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-3850640</wp:posOffset>
            </wp:positionV>
            <wp:extent cx="72466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-3507740</wp:posOffset>
            </wp:positionV>
            <wp:extent cx="7246620" cy="2400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-3079115</wp:posOffset>
            </wp:positionV>
            <wp:extent cx="7246620" cy="3429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46620" cy="3429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-2496185</wp:posOffset>
            </wp:positionV>
            <wp:extent cx="724662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-1055370</wp:posOffset>
            </wp:positionV>
            <wp:extent cx="7246620" cy="2400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-574675</wp:posOffset>
            </wp:positionV>
            <wp:extent cx="724662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-231775</wp:posOffset>
            </wp:positionV>
            <wp:extent cx="7246620" cy="24003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4662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-5772150</wp:posOffset>
            </wp:positionV>
            <wp:extent cx="7246620"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4" w:lineRule="exact"/>
        <w:rPr>
          <w:sz w:val="20"/>
          <w:szCs w:val="20"/>
          <w:color w:val="auto"/>
        </w:rPr>
      </w:pPr>
    </w:p>
    <w:p>
      <w:pPr>
        <w:ind w:left="260"/>
        <w:spacing w:after="0"/>
        <w:rPr>
          <w:sz w:val="20"/>
          <w:szCs w:val="20"/>
          <w:color w:val="auto"/>
        </w:rPr>
      </w:pPr>
      <w:r>
        <w:rPr>
          <w:rFonts w:ascii="Arial" w:cs="Arial" w:eastAsia="Arial" w:hAnsi="Arial"/>
          <w:sz w:val="14"/>
          <w:szCs w:val="14"/>
          <w:color w:val="auto"/>
        </w:rPr>
        <w:t>* Party-in-interest.</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14"/>
          <w:szCs w:val="14"/>
          <w:color w:val="auto"/>
        </w:rPr>
        <w:t>** Cost is not required for participant-directed funds.</w:t>
      </w:r>
    </w:p>
    <w:p>
      <w:pPr>
        <w:spacing w:after="0" w:line="22" w:lineRule="exact"/>
        <w:rPr>
          <w:sz w:val="20"/>
          <w:szCs w:val="20"/>
          <w:color w:val="auto"/>
        </w:rPr>
      </w:pPr>
    </w:p>
    <w:p>
      <w:pPr>
        <w:ind w:left="80"/>
        <w:spacing w:after="0"/>
        <w:rPr>
          <w:sz w:val="20"/>
          <w:szCs w:val="20"/>
          <w:color w:val="auto"/>
        </w:rPr>
      </w:pPr>
      <w:r>
        <w:rPr>
          <w:rFonts w:ascii="Arial" w:cs="Arial" w:eastAsia="Arial" w:hAnsi="Arial"/>
          <w:sz w:val="18"/>
          <w:szCs w:val="18"/>
          <w:color w:val="auto"/>
        </w:rPr>
        <w:t>See accompanying notes to financial statements.</w:t>
      </w:r>
    </w:p>
    <w:p>
      <w:pPr>
        <w:spacing w:after="0" w:line="23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232" w:hanging="232"/>
        <w:spacing w:after="0"/>
        <w:tabs>
          <w:tab w:leader="none" w:pos="232" w:val="left"/>
        </w:tabs>
        <w:numPr>
          <w:ilvl w:val="0"/>
          <w:numId w:val="9"/>
        </w:numPr>
        <w:rPr>
          <w:rFonts w:ascii="Arial" w:cs="Arial" w:eastAsia="Arial" w:hAnsi="Arial"/>
          <w:sz w:val="14"/>
          <w:szCs w:val="14"/>
          <w:b w:val="1"/>
          <w:bCs w:val="1"/>
          <w:color w:val="auto"/>
        </w:rPr>
      </w:pPr>
      <w:r>
        <w:rPr>
          <w:rFonts w:ascii="Arial" w:cs="Arial" w:eastAsia="Arial" w:hAnsi="Arial"/>
          <w:sz w:val="14"/>
          <w:szCs w:val="14"/>
          <w:b w:val="1"/>
          <w:bCs w:val="1"/>
          <w:color w:val="auto"/>
        </w:rPr>
        <w:t>Cost**</w:t>
      </w:r>
    </w:p>
    <w:p>
      <w:pPr>
        <w:spacing w:after="0" w:line="86" w:lineRule="exact"/>
        <w:rPr>
          <w:rFonts w:ascii="Arial" w:cs="Arial" w:eastAsia="Arial" w:hAnsi="Arial"/>
          <w:sz w:val="14"/>
          <w:szCs w:val="14"/>
          <w:b w:val="1"/>
          <w:bCs w:val="1"/>
          <w:color w:val="auto"/>
        </w:rPr>
      </w:pPr>
    </w:p>
    <w:p>
      <w:pPr>
        <w:ind w:left="332"/>
        <w:spacing w:after="0"/>
        <w:rPr>
          <w:rFonts w:ascii="Arial" w:cs="Arial" w:eastAsia="Arial" w:hAnsi="Arial"/>
          <w:sz w:val="14"/>
          <w:szCs w:val="14"/>
          <w:b w:val="1"/>
          <w:bCs w:val="1"/>
          <w:color w:val="auto"/>
        </w:rPr>
      </w:pPr>
      <w:r>
        <w:rPr>
          <w:rFonts w:ascii="Arial" w:cs="Arial" w:eastAsia="Arial" w:hAnsi="Arial"/>
          <w:sz w:val="14"/>
          <w:szCs w:val="14"/>
          <w:color w:val="auto"/>
        </w:rPr>
        <w:t>N/A</w:t>
      </w:r>
    </w:p>
    <w:p>
      <w:pPr>
        <w:spacing w:after="0" w:line="95" w:lineRule="exact"/>
        <w:rPr>
          <w:rFonts w:ascii="Arial" w:cs="Arial" w:eastAsia="Arial" w:hAnsi="Arial"/>
          <w:sz w:val="14"/>
          <w:szCs w:val="14"/>
          <w:b w:val="1"/>
          <w:bCs w:val="1"/>
          <w:color w:val="auto"/>
        </w:rPr>
      </w:pPr>
    </w:p>
    <w:p>
      <w:pPr>
        <w:ind w:left="332"/>
        <w:spacing w:after="0"/>
        <w:rPr>
          <w:rFonts w:ascii="Arial" w:cs="Arial" w:eastAsia="Arial" w:hAnsi="Arial"/>
          <w:sz w:val="14"/>
          <w:szCs w:val="14"/>
          <w:b w:val="1"/>
          <w:bCs w:val="1"/>
          <w:color w:val="auto"/>
        </w:rPr>
      </w:pPr>
      <w:r>
        <w:rPr>
          <w:rFonts w:ascii="Arial" w:cs="Arial" w:eastAsia="Arial" w:hAnsi="Arial"/>
          <w:sz w:val="14"/>
          <w:szCs w:val="14"/>
          <w:color w:val="auto"/>
        </w:rPr>
        <w:t>N/A</w:t>
      </w:r>
    </w:p>
    <w:p>
      <w:pPr>
        <w:spacing w:after="0" w:line="109" w:lineRule="exact"/>
        <w:rPr>
          <w:rFonts w:ascii="Arial" w:cs="Arial" w:eastAsia="Arial" w:hAnsi="Arial"/>
          <w:sz w:val="14"/>
          <w:szCs w:val="14"/>
          <w:b w:val="1"/>
          <w:bCs w:val="1"/>
          <w:color w:val="auto"/>
        </w:rPr>
      </w:pPr>
    </w:p>
    <w:p>
      <w:pPr>
        <w:ind w:left="332"/>
        <w:spacing w:after="0"/>
        <w:rPr>
          <w:rFonts w:ascii="Arial" w:cs="Arial" w:eastAsia="Arial" w:hAnsi="Arial"/>
          <w:sz w:val="14"/>
          <w:szCs w:val="14"/>
          <w:b w:val="1"/>
          <w:bCs w:val="1"/>
          <w:color w:val="auto"/>
        </w:rPr>
      </w:pPr>
      <w:r>
        <w:rPr>
          <w:rFonts w:ascii="Arial" w:cs="Arial" w:eastAsia="Arial" w:hAnsi="Arial"/>
          <w:sz w:val="14"/>
          <w:szCs w:val="14"/>
          <w:color w:val="auto"/>
        </w:rPr>
        <w:t>N/A</w:t>
      </w:r>
    </w:p>
    <w:p>
      <w:pPr>
        <w:spacing w:after="0" w:line="285"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50"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17"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23"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96"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77"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50"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98"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85"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00" w:lineRule="exact"/>
        <w:rPr>
          <w:sz w:val="20"/>
          <w:szCs w:val="20"/>
          <w:color w:val="auto"/>
        </w:rPr>
      </w:pPr>
    </w:p>
    <w:p>
      <w:pPr>
        <w:spacing w:after="0" w:line="220"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09"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77"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17"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150"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17" w:lineRule="exact"/>
        <w:rPr>
          <w:sz w:val="20"/>
          <w:szCs w:val="20"/>
          <w:color w:val="auto"/>
        </w:rPr>
      </w:pPr>
    </w:p>
    <w:p>
      <w:pPr>
        <w:ind w:left="332"/>
        <w:spacing w:after="0"/>
        <w:rPr>
          <w:sz w:val="20"/>
          <w:szCs w:val="20"/>
          <w:color w:val="auto"/>
        </w:rPr>
      </w:pPr>
      <w:r>
        <w:rPr>
          <w:rFonts w:ascii="Arial" w:cs="Arial" w:eastAsia="Arial" w:hAnsi="Arial"/>
          <w:sz w:val="14"/>
          <w:szCs w:val="14"/>
          <w:color w:val="auto"/>
        </w:rPr>
        <w:t>N/A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 Current value</w:t>
      </w:r>
    </w:p>
    <w:p>
      <w:pPr>
        <w:spacing w:after="0" w:line="127" w:lineRule="exact"/>
        <w:rPr>
          <w:sz w:val="20"/>
          <w:szCs w:val="20"/>
          <w:color w:val="auto"/>
        </w:rPr>
      </w:pPr>
    </w:p>
    <w:p>
      <w:pPr>
        <w:ind w:left="680" w:hanging="676"/>
        <w:spacing w:after="0"/>
        <w:tabs>
          <w:tab w:leader="none" w:pos="680" w:val="left"/>
        </w:tabs>
        <w:numPr>
          <w:ilvl w:val="0"/>
          <w:numId w:val="10"/>
        </w:numPr>
        <w:rPr>
          <w:rFonts w:ascii="Arial" w:cs="Arial" w:eastAsia="Arial" w:hAnsi="Arial"/>
          <w:sz w:val="14"/>
          <w:szCs w:val="14"/>
          <w:color w:val="auto"/>
        </w:rPr>
      </w:pPr>
      <w:r>
        <w:rPr>
          <w:rFonts w:ascii="Arial" w:cs="Arial" w:eastAsia="Arial" w:hAnsi="Arial"/>
          <w:sz w:val="14"/>
          <w:szCs w:val="14"/>
          <w:color w:val="auto"/>
        </w:rPr>
        <w:t>63,207</w:t>
      </w:r>
    </w:p>
    <w:p>
      <w:pPr>
        <w:spacing w:after="0" w:line="109" w:lineRule="exact"/>
        <w:rPr>
          <w:rFonts w:ascii="Arial" w:cs="Arial" w:eastAsia="Arial" w:hAnsi="Arial"/>
          <w:sz w:val="14"/>
          <w:szCs w:val="14"/>
          <w:color w:val="auto"/>
        </w:rPr>
      </w:pPr>
    </w:p>
    <w:p>
      <w:pPr>
        <w:ind w:left="880"/>
        <w:spacing w:after="0"/>
        <w:rPr>
          <w:rFonts w:ascii="Arial" w:cs="Arial" w:eastAsia="Arial" w:hAnsi="Arial"/>
          <w:sz w:val="14"/>
          <w:szCs w:val="14"/>
          <w:color w:val="auto"/>
        </w:rPr>
      </w:pPr>
      <w:r>
        <w:rPr>
          <w:rFonts w:ascii="Arial" w:cs="Arial" w:eastAsia="Arial" w:hAnsi="Arial"/>
          <w:sz w:val="14"/>
          <w:szCs w:val="14"/>
          <w:color w:val="auto"/>
        </w:rPr>
        <w:t>776</w:t>
      </w:r>
    </w:p>
    <w:p>
      <w:pPr>
        <w:spacing w:after="0" w:line="217" w:lineRule="exact"/>
        <w:rPr>
          <w:sz w:val="20"/>
          <w:szCs w:val="20"/>
          <w:color w:val="auto"/>
        </w:rPr>
      </w:pPr>
    </w:p>
    <w:p>
      <w:pPr>
        <w:ind w:left="680"/>
        <w:spacing w:after="0"/>
        <w:rPr>
          <w:sz w:val="20"/>
          <w:szCs w:val="20"/>
          <w:color w:val="auto"/>
        </w:rPr>
      </w:pPr>
      <w:r>
        <w:rPr>
          <w:rFonts w:ascii="Arial" w:cs="Arial" w:eastAsia="Arial" w:hAnsi="Arial"/>
          <w:sz w:val="14"/>
          <w:szCs w:val="14"/>
          <w:color w:val="auto"/>
        </w:rPr>
        <w:t>24,906</w:t>
      </w:r>
    </w:p>
    <w:p>
      <w:pPr>
        <w:spacing w:after="0" w:line="217" w:lineRule="exact"/>
        <w:rPr>
          <w:sz w:val="20"/>
          <w:szCs w:val="20"/>
          <w:color w:val="auto"/>
        </w:rPr>
      </w:pPr>
    </w:p>
    <w:p>
      <w:pPr>
        <w:ind w:left="680"/>
        <w:spacing w:after="0"/>
        <w:rPr>
          <w:sz w:val="20"/>
          <w:szCs w:val="20"/>
          <w:color w:val="auto"/>
        </w:rPr>
      </w:pPr>
      <w:r>
        <w:rPr>
          <w:rFonts w:ascii="Arial" w:cs="Arial" w:eastAsia="Arial" w:hAnsi="Arial"/>
          <w:sz w:val="14"/>
          <w:szCs w:val="14"/>
          <w:color w:val="auto"/>
        </w:rPr>
        <w:t>28,981</w:t>
      </w:r>
    </w:p>
    <w:p>
      <w:pPr>
        <w:spacing w:after="0" w:line="217"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11,097</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8,815</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161,310</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45,893</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48,586</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63,852</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2,691</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83,990</w:t>
      </w:r>
    </w:p>
    <w:p>
      <w:pPr>
        <w:spacing w:after="0" w:line="217" w:lineRule="exact"/>
        <w:rPr>
          <w:sz w:val="20"/>
          <w:szCs w:val="20"/>
          <w:color w:val="auto"/>
        </w:rPr>
      </w:pPr>
    </w:p>
    <w:p>
      <w:pPr>
        <w:ind w:left="760"/>
        <w:spacing w:after="0"/>
        <w:rPr>
          <w:sz w:val="20"/>
          <w:szCs w:val="20"/>
          <w:color w:val="auto"/>
        </w:rPr>
      </w:pPr>
      <w:r>
        <w:rPr>
          <w:rFonts w:ascii="Arial" w:cs="Arial" w:eastAsia="Arial" w:hAnsi="Arial"/>
          <w:sz w:val="14"/>
          <w:szCs w:val="14"/>
          <w:color w:val="auto"/>
        </w:rPr>
        <w:t>3,215</w:t>
      </w:r>
    </w:p>
    <w:p>
      <w:pPr>
        <w:spacing w:after="0" w:line="136" w:lineRule="exact"/>
        <w:rPr>
          <w:sz w:val="20"/>
          <w:szCs w:val="20"/>
          <w:color w:val="auto"/>
        </w:rPr>
      </w:pPr>
    </w:p>
    <w:p>
      <w:pPr>
        <w:ind w:left="760"/>
        <w:spacing w:after="0"/>
        <w:rPr>
          <w:sz w:val="20"/>
          <w:szCs w:val="20"/>
          <w:color w:val="auto"/>
        </w:rPr>
      </w:pPr>
      <w:r>
        <w:rPr>
          <w:rFonts w:ascii="Arial" w:cs="Arial" w:eastAsia="Arial" w:hAnsi="Arial"/>
          <w:sz w:val="14"/>
          <w:szCs w:val="14"/>
          <w:color w:val="auto"/>
        </w:rPr>
        <w:t>9,491</w:t>
      </w:r>
    </w:p>
    <w:p>
      <w:pPr>
        <w:spacing w:after="0" w:line="379" w:lineRule="exact"/>
        <w:rPr>
          <w:sz w:val="20"/>
          <w:szCs w:val="20"/>
          <w:color w:val="auto"/>
        </w:rPr>
      </w:pPr>
    </w:p>
    <w:p>
      <w:pPr>
        <w:ind w:left="680"/>
        <w:spacing w:after="0"/>
        <w:rPr>
          <w:sz w:val="20"/>
          <w:szCs w:val="20"/>
          <w:color w:val="auto"/>
        </w:rPr>
      </w:pPr>
      <w:r>
        <w:rPr>
          <w:rFonts w:ascii="Arial" w:cs="Arial" w:eastAsia="Arial" w:hAnsi="Arial"/>
          <w:sz w:val="14"/>
          <w:szCs w:val="14"/>
          <w:color w:val="auto"/>
        </w:rPr>
        <w:t>15,955</w:t>
      </w:r>
    </w:p>
    <w:p>
      <w:pPr>
        <w:spacing w:after="0" w:line="217" w:lineRule="exact"/>
        <w:rPr>
          <w:sz w:val="20"/>
          <w:szCs w:val="20"/>
          <w:color w:val="auto"/>
        </w:rPr>
      </w:pPr>
    </w:p>
    <w:p>
      <w:pPr>
        <w:ind w:left="760"/>
        <w:spacing w:after="0"/>
        <w:rPr>
          <w:sz w:val="20"/>
          <w:szCs w:val="20"/>
          <w:color w:val="auto"/>
        </w:rPr>
      </w:pPr>
      <w:r>
        <w:rPr>
          <w:rFonts w:ascii="Arial" w:cs="Arial" w:eastAsia="Arial" w:hAnsi="Arial"/>
          <w:sz w:val="14"/>
          <w:szCs w:val="14"/>
          <w:color w:val="auto"/>
        </w:rPr>
        <w:t>2,176</w:t>
      </w:r>
    </w:p>
    <w:p>
      <w:pPr>
        <w:spacing w:after="0" w:line="37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12,295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14605</wp:posOffset>
            </wp:positionV>
            <wp:extent cx="1577975"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577975" cy="171450"/>
                    </a:xfrm>
                    <a:prstGeom prst="rect">
                      <a:avLst/>
                    </a:prstGeom>
                    <a:noFill/>
                  </pic:spPr>
                </pic:pic>
              </a:graphicData>
            </a:graphic>
          </wp:anchor>
        </w:drawing>
      </w:r>
    </w:p>
    <w:p>
      <w:pPr>
        <w:spacing w:after="0" w:line="8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61,789</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95,653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14605</wp:posOffset>
            </wp:positionV>
            <wp:extent cx="1577975"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577975" cy="171450"/>
                    </a:xfrm>
                    <a:prstGeom prst="rect">
                      <a:avLst/>
                    </a:prstGeom>
                    <a:noFill/>
                  </pic:spPr>
                </pic:pic>
              </a:graphicData>
            </a:graphic>
          </wp:anchor>
        </w:drawing>
      </w:r>
    </w:p>
    <w:p>
      <w:pPr>
        <w:spacing w:after="0" w:line="8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104,789</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93,394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-802640</wp:posOffset>
            </wp:positionH>
            <wp:positionV relativeFrom="paragraph">
              <wp:posOffset>14605</wp:posOffset>
            </wp:positionV>
            <wp:extent cx="1577975"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577975" cy="171450"/>
                    </a:xfrm>
                    <a:prstGeom prst="rect">
                      <a:avLst/>
                    </a:prstGeom>
                    <a:noFill/>
                  </pic:spPr>
                </pic:pic>
              </a:graphicData>
            </a:graphic>
          </wp:anchor>
        </w:drawing>
      </w:r>
    </w:p>
    <w:p>
      <w:pPr>
        <w:spacing w:after="0" w:line="8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9,960</w:t>
      </w:r>
    </w:p>
    <w:p>
      <w:pPr>
        <w:spacing w:after="0" w:line="217" w:lineRule="exact"/>
        <w:rPr>
          <w:sz w:val="20"/>
          <w:szCs w:val="20"/>
          <w:color w:val="auto"/>
        </w:rPr>
      </w:pPr>
    </w:p>
    <w:p>
      <w:pPr>
        <w:ind w:left="960"/>
        <w:spacing w:after="0"/>
        <w:rPr>
          <w:sz w:val="20"/>
          <w:szCs w:val="20"/>
          <w:color w:val="auto"/>
        </w:rPr>
      </w:pPr>
      <w:r>
        <w:rPr>
          <w:rFonts w:ascii="Arial" w:cs="Arial" w:eastAsia="Arial" w:hAnsi="Arial"/>
          <w:sz w:val="14"/>
          <w:szCs w:val="14"/>
          <w:color w:val="auto"/>
        </w:rPr>
        <w:t>33</w:t>
      </w:r>
    </w:p>
    <w:p>
      <w:pPr>
        <w:spacing w:after="0" w:line="217" w:lineRule="exact"/>
        <w:rPr>
          <w:sz w:val="20"/>
          <w:szCs w:val="20"/>
          <w:color w:val="auto"/>
        </w:rPr>
      </w:pPr>
    </w:p>
    <w:p>
      <w:pPr>
        <w:ind w:left="680"/>
        <w:spacing w:after="0"/>
        <w:rPr>
          <w:sz w:val="20"/>
          <w:szCs w:val="20"/>
          <w:color w:val="auto"/>
        </w:rPr>
      </w:pPr>
      <w:r>
        <w:rPr>
          <w:rFonts w:ascii="Arial" w:cs="Arial" w:eastAsia="Arial" w:hAnsi="Arial"/>
          <w:sz w:val="14"/>
          <w:szCs w:val="14"/>
          <w:color w:val="auto"/>
        </w:rPr>
        <w:t>67,113</w:t>
      </w:r>
    </w:p>
    <w:p>
      <w:pPr>
        <w:spacing w:after="0" w:line="217"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40,304</w:t>
      </w:r>
    </w:p>
    <w:p>
      <w:pPr>
        <w:spacing w:after="0" w:line="10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31,112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14605</wp:posOffset>
            </wp:positionV>
            <wp:extent cx="78867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88670" cy="8890"/>
                    </a:xfrm>
                    <a:prstGeom prst="rect">
                      <a:avLst/>
                    </a:prstGeom>
                    <a:noFill/>
                  </pic:spPr>
                </pic:pic>
              </a:graphicData>
            </a:graphic>
          </wp:anchor>
        </w:drawing>
      </w:r>
    </w:p>
    <w:p>
      <w:pPr>
        <w:spacing w:after="0" w:line="89" w:lineRule="exact"/>
        <w:rPr>
          <w:sz w:val="20"/>
          <w:szCs w:val="20"/>
          <w:color w:val="auto"/>
        </w:rPr>
      </w:pPr>
    </w:p>
    <w:p>
      <w:pPr>
        <w:jc w:val="right"/>
        <w:ind w:right="40"/>
        <w:spacing w:after="0"/>
        <w:rPr>
          <w:sz w:val="20"/>
          <w:szCs w:val="20"/>
          <w:color w:val="auto"/>
        </w:rPr>
      </w:pPr>
      <w:r>
        <w:rPr>
          <w:rFonts w:ascii="Arial" w:cs="Arial" w:eastAsia="Arial" w:hAnsi="Arial"/>
          <w:sz w:val="14"/>
          <w:szCs w:val="14"/>
          <w:color w:val="auto"/>
        </w:rPr>
        <w:t>1,091,383</w:t>
      </w:r>
    </w:p>
    <w:p>
      <w:pPr>
        <w:spacing w:after="0" w:line="217" w:lineRule="exact"/>
        <w:rPr>
          <w:sz w:val="20"/>
          <w:szCs w:val="20"/>
          <w:color w:val="auto"/>
        </w:rPr>
      </w:pPr>
    </w:p>
    <w:p>
      <w:pPr>
        <w:ind w:left="680"/>
        <w:spacing w:after="0"/>
        <w:rPr>
          <w:sz w:val="20"/>
          <w:szCs w:val="20"/>
          <w:color w:val="auto"/>
        </w:rPr>
      </w:pPr>
      <w:r>
        <w:rPr>
          <w:rFonts w:ascii="Arial" w:cs="Arial" w:eastAsia="Arial" w:hAnsi="Arial"/>
          <w:sz w:val="14"/>
          <w:szCs w:val="14"/>
          <w:color w:val="auto"/>
        </w:rPr>
        <w:t>26,197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14605</wp:posOffset>
            </wp:positionV>
            <wp:extent cx="78867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88670" cy="8890"/>
                    </a:xfrm>
                    <a:prstGeom prst="rect">
                      <a:avLst/>
                    </a:prstGeom>
                    <a:noFill/>
                  </pic:spPr>
                </pic:pic>
              </a:graphicData>
            </a:graphic>
          </wp:anchor>
        </w:drawing>
      </w:r>
    </w:p>
    <w:p>
      <w:pPr>
        <w:spacing w:after="0" w:line="49" w:lineRule="exact"/>
        <w:rPr>
          <w:sz w:val="20"/>
          <w:szCs w:val="20"/>
          <w:color w:val="auto"/>
        </w:rPr>
      </w:pPr>
    </w:p>
    <w:p>
      <w:pPr>
        <w:ind w:left="480" w:hanging="476"/>
        <w:spacing w:after="0"/>
        <w:tabs>
          <w:tab w:leader="none" w:pos="480" w:val="left"/>
        </w:tabs>
        <w:numPr>
          <w:ilvl w:val="0"/>
          <w:numId w:val="11"/>
        </w:numPr>
        <w:rPr>
          <w:rFonts w:ascii="Arial" w:cs="Arial" w:eastAsia="Arial" w:hAnsi="Arial"/>
          <w:sz w:val="14"/>
          <w:szCs w:val="14"/>
          <w:color w:val="auto"/>
        </w:rPr>
      </w:pPr>
      <w:r>
        <w:rPr>
          <w:rFonts w:ascii="Arial" w:cs="Arial" w:eastAsia="Arial" w:hAnsi="Arial"/>
          <w:sz w:val="14"/>
          <w:szCs w:val="14"/>
          <w:color w:val="auto"/>
        </w:rPr>
        <w:t>1,117,580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-13970</wp:posOffset>
            </wp:positionH>
            <wp:positionV relativeFrom="paragraph">
              <wp:posOffset>31750</wp:posOffset>
            </wp:positionV>
            <wp:extent cx="78867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88670" cy="8890"/>
                    </a:xfrm>
                    <a:prstGeom prst="rect">
                      <a:avLst/>
                    </a:prstGeom>
                    <a:noFill/>
                  </pic:spPr>
                </pic:pic>
              </a:graphicData>
            </a:graphic>
          </wp:anchor>
        </w:drawing>
        <w:drawing>
          <wp:anchor simplePos="0" relativeHeight="251657728" behindDoc="1" locked="0" layoutInCell="0" allowOverlap="1">
            <wp:simplePos x="0" y="0"/>
            <wp:positionH relativeFrom="column">
              <wp:posOffset>-13970</wp:posOffset>
            </wp:positionH>
            <wp:positionV relativeFrom="paragraph">
              <wp:posOffset>48895</wp:posOffset>
            </wp:positionV>
            <wp:extent cx="78867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88670" cy="8890"/>
                    </a:xfrm>
                    <a:prstGeom prst="rect">
                      <a:avLst/>
                    </a:prstGeom>
                    <a:noFill/>
                  </pic:spPr>
                </pic:pic>
              </a:graphicData>
            </a:graphic>
          </wp:anchor>
        </w:drawing>
      </w:r>
    </w:p>
    <w:p>
      <w:pPr>
        <w:sectPr>
          <w:pgSz w:w="11900" w:h="16838" w:orient="portrait"/>
          <w:cols w:equalWidth="0" w:num="3">
            <w:col w:w="9000" w:space="208"/>
            <w:col w:w="652" w:space="340"/>
            <w:col w:w="1160"/>
          </w:cols>
          <w:pgMar w:left="240" w:top="360" w:right="29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u w:val="single" w:color="auto"/>
          <w:color w:val="auto"/>
        </w:rPr>
        <w:t>SIGNATURES</w:t>
      </w:r>
    </w:p>
    <w:p>
      <w:pPr>
        <w:spacing w:after="0" w:line="72" w:lineRule="exact"/>
        <w:rPr>
          <w:sz w:val="20"/>
          <w:szCs w:val="20"/>
          <w:color w:val="auto"/>
        </w:rPr>
      </w:pPr>
    </w:p>
    <w:p>
      <w:pPr>
        <w:ind w:right="560"/>
        <w:spacing w:after="0" w:line="282" w:lineRule="auto"/>
        <w:rPr>
          <w:sz w:val="20"/>
          <w:szCs w:val="20"/>
          <w:color w:val="auto"/>
        </w:rPr>
      </w:pPr>
      <w:r>
        <w:rPr>
          <w:rFonts w:ascii="Arial" w:cs="Arial" w:eastAsia="Arial" w:hAnsi="Arial"/>
          <w:sz w:val="18"/>
          <w:szCs w:val="18"/>
          <w:i w:val="1"/>
          <w:iCs w:val="1"/>
          <w:color w:val="auto"/>
        </w:rPr>
        <w:t>The Plan</w:t>
      </w:r>
      <w:r>
        <w:rPr>
          <w:rFonts w:ascii="Arial" w:cs="Arial" w:eastAsia="Arial" w:hAnsi="Arial"/>
          <w:sz w:val="18"/>
          <w:szCs w:val="18"/>
          <w:color w:val="auto"/>
        </w:rPr>
        <w:t>. Pursuant to the requirements of the Securities Exchange Act of 1934, FMC Technologies, Inc., as Plan Administrator, has duly</w:t>
      </w:r>
      <w:r>
        <w:rPr>
          <w:rFonts w:ascii="Arial" w:cs="Arial" w:eastAsia="Arial" w:hAnsi="Arial"/>
          <w:sz w:val="18"/>
          <w:szCs w:val="18"/>
          <w:i w:val="1"/>
          <w:iCs w:val="1"/>
          <w:color w:val="auto"/>
        </w:rPr>
        <w:t xml:space="preserve"> </w:t>
      </w:r>
      <w:r>
        <w:rPr>
          <w:rFonts w:ascii="Arial" w:cs="Arial" w:eastAsia="Arial" w:hAnsi="Arial"/>
          <w:sz w:val="18"/>
          <w:szCs w:val="18"/>
          <w:color w:val="auto"/>
        </w:rPr>
        <w:t>caused this annual report to be signed on its behalf by the undersigned hereunto duly authorized.</w:t>
      </w:r>
    </w:p>
    <w:p>
      <w:pPr>
        <w:spacing w:after="0" w:line="200" w:lineRule="exact"/>
        <w:rPr>
          <w:sz w:val="20"/>
          <w:szCs w:val="20"/>
          <w:color w:val="auto"/>
        </w:rPr>
      </w:pPr>
    </w:p>
    <w:p>
      <w:pPr>
        <w:spacing w:after="0" w:line="331" w:lineRule="exact"/>
        <w:rPr>
          <w:sz w:val="20"/>
          <w:szCs w:val="20"/>
          <w:color w:val="auto"/>
        </w:rPr>
      </w:pPr>
    </w:p>
    <w:p>
      <w:pPr>
        <w:ind w:left="6080"/>
        <w:spacing w:after="0"/>
        <w:rPr>
          <w:sz w:val="20"/>
          <w:szCs w:val="20"/>
          <w:color w:val="auto"/>
        </w:rPr>
      </w:pPr>
      <w:r>
        <w:rPr>
          <w:rFonts w:ascii="Arial" w:cs="Arial" w:eastAsia="Arial" w:hAnsi="Arial"/>
          <w:sz w:val="18"/>
          <w:szCs w:val="18"/>
          <w:color w:val="auto"/>
        </w:rPr>
        <w:t>TECHNIPFMC RETIREMENT SAVINGS PLAN</w:t>
      </w:r>
    </w:p>
    <w:p>
      <w:pPr>
        <w:spacing w:after="0" w:line="239" w:lineRule="exact"/>
        <w:rPr>
          <w:sz w:val="20"/>
          <w:szCs w:val="20"/>
          <w:color w:val="auto"/>
        </w:rPr>
      </w:pPr>
    </w:p>
    <w:tbl>
      <w:tblPr>
        <w:tblLayout w:type="fixed"/>
        <w:tblInd w:w="40" w:type="dxa"/>
        <w:tblCellMar>
          <w:top w:w="0" w:type="dxa"/>
          <w:left w:w="0" w:type="dxa"/>
          <w:bottom w:w="0" w:type="dxa"/>
          <w:right w:w="0" w:type="dxa"/>
        </w:tblCellMar>
      </w:tblPr>
      <w:tr>
        <w:trPr>
          <w:trHeight w:val="217"/>
        </w:trPr>
        <w:tc>
          <w:tcPr>
            <w:tcW w:w="3600" w:type="dxa"/>
            <w:vAlign w:val="bottom"/>
          </w:tcPr>
          <w:p>
            <w:pPr>
              <w:spacing w:after="0"/>
              <w:rPr>
                <w:sz w:val="18"/>
                <w:szCs w:val="18"/>
                <w:color w:val="auto"/>
              </w:rPr>
            </w:pPr>
          </w:p>
        </w:tc>
        <w:tc>
          <w:tcPr>
            <w:tcW w:w="7780" w:type="dxa"/>
            <w:vAlign w:val="bottom"/>
            <w:gridSpan w:val="2"/>
          </w:tcPr>
          <w:p>
            <w:pPr>
              <w:ind w:left="2140"/>
              <w:spacing w:after="0"/>
              <w:rPr>
                <w:sz w:val="20"/>
                <w:szCs w:val="20"/>
                <w:color w:val="auto"/>
              </w:rPr>
            </w:pPr>
            <w:r>
              <w:rPr>
                <w:rFonts w:ascii="Arial" w:cs="Arial" w:eastAsia="Arial" w:hAnsi="Arial"/>
                <w:sz w:val="18"/>
                <w:szCs w:val="18"/>
                <w:color w:val="auto"/>
              </w:rPr>
              <w:t>By: FMC Technologies, Inc., as Plan Administrator</w:t>
            </w:r>
          </w:p>
        </w:tc>
        <w:tc>
          <w:tcPr>
            <w:tcW w:w="0" w:type="dxa"/>
            <w:vAlign w:val="bottom"/>
          </w:tcPr>
          <w:p>
            <w:pPr>
              <w:spacing w:after="0"/>
              <w:rPr>
                <w:sz w:val="1"/>
                <w:szCs w:val="1"/>
                <w:color w:val="auto"/>
              </w:rPr>
            </w:pPr>
          </w:p>
        </w:tc>
      </w:tr>
      <w:tr>
        <w:trPr>
          <w:trHeight w:val="594"/>
        </w:trPr>
        <w:tc>
          <w:tcPr>
            <w:tcW w:w="3600" w:type="dxa"/>
            <w:vAlign w:val="bottom"/>
          </w:tcPr>
          <w:p>
            <w:pPr>
              <w:spacing w:after="0"/>
              <w:rPr>
                <w:sz w:val="20"/>
                <w:szCs w:val="20"/>
                <w:color w:val="auto"/>
              </w:rPr>
            </w:pPr>
            <w:r>
              <w:rPr>
                <w:rFonts w:ascii="Arial" w:cs="Arial" w:eastAsia="Arial" w:hAnsi="Arial"/>
                <w:sz w:val="18"/>
                <w:szCs w:val="18"/>
                <w:color w:val="auto"/>
              </w:rPr>
              <w:t>Date: June 28, 2019</w:t>
            </w:r>
          </w:p>
        </w:tc>
        <w:tc>
          <w:tcPr>
            <w:tcW w:w="2420" w:type="dxa"/>
            <w:vAlign w:val="bottom"/>
          </w:tcPr>
          <w:p>
            <w:pPr>
              <w:spacing w:after="0"/>
              <w:rPr>
                <w:sz w:val="24"/>
                <w:szCs w:val="24"/>
                <w:color w:val="auto"/>
              </w:rPr>
            </w:pPr>
          </w:p>
        </w:tc>
        <w:tc>
          <w:tcPr>
            <w:tcW w:w="5360" w:type="dxa"/>
            <w:vAlign w:val="bottom"/>
            <w:vMerge w:val="restart"/>
          </w:tcPr>
          <w:p>
            <w:pPr>
              <w:ind w:left="20"/>
              <w:spacing w:after="0"/>
              <w:rPr>
                <w:sz w:val="20"/>
                <w:szCs w:val="20"/>
                <w:color w:val="auto"/>
              </w:rPr>
            </w:pPr>
            <w:r>
              <w:rPr>
                <w:rFonts w:ascii="Arial" w:cs="Arial" w:eastAsia="Arial" w:hAnsi="Arial"/>
                <w:sz w:val="18"/>
                <w:szCs w:val="18"/>
                <w:color w:val="auto"/>
              </w:rPr>
              <w:t>/s/ Maryann T. Mannen</w:t>
            </w:r>
          </w:p>
        </w:tc>
        <w:tc>
          <w:tcPr>
            <w:tcW w:w="0" w:type="dxa"/>
            <w:vAlign w:val="bottom"/>
          </w:tcPr>
          <w:p>
            <w:pPr>
              <w:spacing w:after="0"/>
              <w:rPr>
                <w:sz w:val="1"/>
                <w:szCs w:val="1"/>
                <w:color w:val="auto"/>
              </w:rPr>
            </w:pPr>
          </w:p>
        </w:tc>
      </w:tr>
      <w:tr>
        <w:trPr>
          <w:trHeight w:val="93"/>
        </w:trPr>
        <w:tc>
          <w:tcPr>
            <w:tcW w:w="3600" w:type="dxa"/>
            <w:vAlign w:val="bottom"/>
          </w:tcPr>
          <w:p>
            <w:pPr>
              <w:spacing w:after="0"/>
              <w:rPr>
                <w:sz w:val="7"/>
                <w:szCs w:val="7"/>
                <w:color w:val="auto"/>
              </w:rPr>
            </w:pPr>
          </w:p>
        </w:tc>
        <w:tc>
          <w:tcPr>
            <w:tcW w:w="2420" w:type="dxa"/>
            <w:vAlign w:val="bottom"/>
          </w:tcPr>
          <w:p>
            <w:pPr>
              <w:spacing w:after="0"/>
              <w:rPr>
                <w:sz w:val="7"/>
                <w:szCs w:val="7"/>
                <w:color w:val="auto"/>
              </w:rPr>
            </w:pPr>
          </w:p>
        </w:tc>
        <w:tc>
          <w:tcPr>
            <w:tcW w:w="53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3600" w:type="dxa"/>
            <w:vAlign w:val="bottom"/>
          </w:tcPr>
          <w:p>
            <w:pPr>
              <w:spacing w:after="0"/>
              <w:rPr>
                <w:sz w:val="21"/>
                <w:szCs w:val="21"/>
                <w:color w:val="auto"/>
              </w:rPr>
            </w:pPr>
          </w:p>
        </w:tc>
        <w:tc>
          <w:tcPr>
            <w:tcW w:w="2420" w:type="dxa"/>
            <w:vAlign w:val="bottom"/>
          </w:tcPr>
          <w:p>
            <w:pPr>
              <w:spacing w:after="0"/>
              <w:rPr>
                <w:sz w:val="21"/>
                <w:szCs w:val="21"/>
                <w:color w:val="auto"/>
              </w:rPr>
            </w:pPr>
          </w:p>
        </w:tc>
        <w:tc>
          <w:tcPr>
            <w:tcW w:w="5360" w:type="dxa"/>
            <w:vAlign w:val="bottom"/>
          </w:tcPr>
          <w:p>
            <w:pPr>
              <w:ind w:left="20"/>
              <w:spacing w:after="0"/>
              <w:rPr>
                <w:sz w:val="20"/>
                <w:szCs w:val="20"/>
                <w:color w:val="auto"/>
              </w:rPr>
            </w:pPr>
            <w:r>
              <w:rPr>
                <w:rFonts w:ascii="Arial" w:cs="Arial" w:eastAsia="Arial" w:hAnsi="Arial"/>
                <w:sz w:val="18"/>
                <w:szCs w:val="18"/>
                <w:color w:val="auto"/>
              </w:rPr>
              <w:t>Maryann T. Mannen</w:t>
            </w:r>
          </w:p>
        </w:tc>
        <w:tc>
          <w:tcPr>
            <w:tcW w:w="0" w:type="dxa"/>
            <w:vAlign w:val="bottom"/>
          </w:tcPr>
          <w:p>
            <w:pPr>
              <w:spacing w:after="0"/>
              <w:rPr>
                <w:sz w:val="1"/>
                <w:szCs w:val="1"/>
                <w:color w:val="auto"/>
              </w:rPr>
            </w:pPr>
          </w:p>
        </w:tc>
      </w:tr>
      <w:tr>
        <w:trPr>
          <w:trHeight w:val="270"/>
        </w:trPr>
        <w:tc>
          <w:tcPr>
            <w:tcW w:w="3600" w:type="dxa"/>
            <w:vAlign w:val="bottom"/>
          </w:tcPr>
          <w:p>
            <w:pPr>
              <w:spacing w:after="0"/>
              <w:rPr>
                <w:sz w:val="23"/>
                <w:szCs w:val="23"/>
                <w:color w:val="auto"/>
              </w:rPr>
            </w:pPr>
          </w:p>
        </w:tc>
        <w:tc>
          <w:tcPr>
            <w:tcW w:w="2420" w:type="dxa"/>
            <w:vAlign w:val="bottom"/>
          </w:tcPr>
          <w:p>
            <w:pPr>
              <w:spacing w:after="0"/>
              <w:rPr>
                <w:sz w:val="23"/>
                <w:szCs w:val="23"/>
                <w:color w:val="auto"/>
              </w:rPr>
            </w:pPr>
          </w:p>
        </w:tc>
        <w:tc>
          <w:tcPr>
            <w:tcW w:w="5360" w:type="dxa"/>
            <w:vAlign w:val="bottom"/>
          </w:tcPr>
          <w:p>
            <w:pPr>
              <w:ind w:left="20"/>
              <w:spacing w:after="0"/>
              <w:rPr>
                <w:sz w:val="20"/>
                <w:szCs w:val="20"/>
                <w:color w:val="auto"/>
              </w:rPr>
            </w:pPr>
            <w:r>
              <w:rPr>
                <w:rFonts w:ascii="Arial" w:cs="Arial" w:eastAsia="Arial" w:hAnsi="Arial"/>
                <w:sz w:val="18"/>
                <w:szCs w:val="18"/>
                <w:color w:val="auto"/>
              </w:rPr>
              <w:t>Executive Vice President and Chief Financial Officer</w:t>
            </w:r>
          </w:p>
        </w:tc>
        <w:tc>
          <w:tcPr>
            <w:tcW w:w="0" w:type="dxa"/>
            <w:vAlign w:val="bottom"/>
          </w:tcPr>
          <w:p>
            <w:pPr>
              <w:spacing w:after="0"/>
              <w:rPr>
                <w:sz w:val="1"/>
                <w:szCs w:val="1"/>
                <w:color w:val="auto"/>
              </w:rPr>
            </w:pPr>
          </w:p>
        </w:tc>
      </w:tr>
      <w:tr>
        <w:trPr>
          <w:trHeight w:val="473"/>
        </w:trPr>
        <w:tc>
          <w:tcPr>
            <w:tcW w:w="3600" w:type="dxa"/>
            <w:vAlign w:val="bottom"/>
          </w:tcPr>
          <w:p>
            <w:pPr>
              <w:spacing w:after="0"/>
              <w:rPr>
                <w:sz w:val="24"/>
                <w:szCs w:val="24"/>
                <w:color w:val="auto"/>
              </w:rPr>
            </w:pPr>
          </w:p>
        </w:tc>
        <w:tc>
          <w:tcPr>
            <w:tcW w:w="2420" w:type="dxa"/>
            <w:vAlign w:val="bottom"/>
          </w:tcPr>
          <w:p>
            <w:pPr>
              <w:jc w:val="right"/>
              <w:ind w:right="170"/>
              <w:spacing w:after="0"/>
              <w:rPr>
                <w:sz w:val="20"/>
                <w:szCs w:val="20"/>
                <w:color w:val="auto"/>
              </w:rPr>
            </w:pPr>
            <w:r>
              <w:rPr>
                <w:rFonts w:ascii="Arial" w:cs="Arial" w:eastAsia="Arial" w:hAnsi="Arial"/>
                <w:sz w:val="18"/>
                <w:szCs w:val="18"/>
                <w:color w:val="auto"/>
              </w:rPr>
              <w:t>14</w:t>
            </w:r>
          </w:p>
        </w:tc>
        <w:tc>
          <w:tcPr>
            <w:tcW w:w="5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2" w:right="239" w:bottom="1440" w:gutter="0" w:footer="0" w:header="0"/>
        </w:sectPr>
      </w:pPr>
    </w:p>
    <w:bookmarkStart w:id="14" w:name="page15"/>
    <w:bookmarkEnd w:id="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6360" w:type="dxa"/>
            <w:vAlign w:val="bottom"/>
            <w:gridSpan w:val="3"/>
          </w:tcPr>
          <w:p>
            <w:pPr>
              <w:jc w:val="center"/>
              <w:ind w:right="5060"/>
              <w:spacing w:after="0"/>
              <w:rPr>
                <w:sz w:val="20"/>
                <w:szCs w:val="20"/>
                <w:color w:val="auto"/>
              </w:rPr>
            </w:pPr>
            <w:r>
              <w:rPr>
                <w:rFonts w:ascii="Arial" w:cs="Arial" w:eastAsia="Arial" w:hAnsi="Arial"/>
                <w:sz w:val="18"/>
                <w:szCs w:val="18"/>
                <w:color w:val="auto"/>
                <w:w w:val="99"/>
              </w:rPr>
              <w:t>EXHIBIT INDEX</w:t>
            </w:r>
          </w:p>
        </w:tc>
      </w:tr>
      <w:tr>
        <w:trPr>
          <w:trHeight w:val="419"/>
        </w:trPr>
        <w:tc>
          <w:tcPr>
            <w:tcW w:w="1620" w:type="dxa"/>
            <w:vAlign w:val="bottom"/>
            <w:gridSpan w:val="2"/>
          </w:tcPr>
          <w:p>
            <w:pPr>
              <w:ind w:left="40"/>
              <w:spacing w:after="0"/>
              <w:rPr>
                <w:sz w:val="20"/>
                <w:szCs w:val="20"/>
                <w:color w:val="auto"/>
              </w:rPr>
            </w:pPr>
            <w:r>
              <w:rPr>
                <w:rFonts w:ascii="Arial" w:cs="Arial" w:eastAsia="Arial" w:hAnsi="Arial"/>
                <w:sz w:val="18"/>
                <w:szCs w:val="18"/>
                <w:b w:val="1"/>
                <w:bCs w:val="1"/>
                <w:color w:val="auto"/>
              </w:rPr>
              <w:t>Exhibit No.</w:t>
            </w:r>
          </w:p>
        </w:tc>
        <w:tc>
          <w:tcPr>
            <w:tcW w:w="2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b w:val="1"/>
                <w:bCs w:val="1"/>
                <w:color w:val="auto"/>
              </w:rPr>
              <w:t>Description</w:t>
            </w:r>
          </w:p>
        </w:tc>
        <w:tc>
          <w:tcPr>
            <w:tcW w:w="1300" w:type="dxa"/>
            <w:vAlign w:val="bottom"/>
            <w:tcBorders>
              <w:top w:val="single" w:sz="8" w:color="auto"/>
            </w:tcBorders>
          </w:tcPr>
          <w:p>
            <w:pPr>
              <w:spacing w:after="0"/>
              <w:rPr>
                <w:sz w:val="24"/>
                <w:szCs w:val="24"/>
                <w:color w:val="auto"/>
              </w:rPr>
            </w:pPr>
          </w:p>
        </w:tc>
        <w:tc>
          <w:tcPr>
            <w:tcW w:w="5060" w:type="dxa"/>
            <w:vAlign w:val="bottom"/>
            <w:gridSpan w:val="2"/>
          </w:tcPr>
          <w:p>
            <w:pPr>
              <w:spacing w:after="0"/>
              <w:rPr>
                <w:sz w:val="24"/>
                <w:szCs w:val="24"/>
                <w:color w:val="auto"/>
              </w:rPr>
            </w:pPr>
          </w:p>
        </w:tc>
      </w:tr>
      <w:tr>
        <w:trPr>
          <w:trHeight w:val="203"/>
        </w:trPr>
        <w:tc>
          <w:tcPr>
            <w:tcW w:w="1500" w:type="dxa"/>
            <w:vAlign w:val="bottom"/>
            <w:tcBorders>
              <w:top w:val="single" w:sz="8" w:color="auto"/>
            </w:tcBorders>
          </w:tcPr>
          <w:p>
            <w:pPr>
              <w:ind w:left="40"/>
              <w:spacing w:after="0" w:line="202" w:lineRule="exact"/>
              <w:rPr>
                <w:sz w:val="20"/>
                <w:szCs w:val="20"/>
                <w:color w:val="auto"/>
              </w:rPr>
            </w:pPr>
            <w:r>
              <w:rPr>
                <w:rFonts w:ascii="Arial" w:cs="Arial" w:eastAsia="Arial" w:hAnsi="Arial"/>
                <w:sz w:val="18"/>
                <w:szCs w:val="18"/>
                <w:color w:val="auto"/>
              </w:rPr>
              <w:t>23.1</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9780" w:type="dxa"/>
            <w:vAlign w:val="bottom"/>
            <w:tcBorders>
              <w:top w:val="single" w:sz="8" w:color="auto"/>
            </w:tcBorders>
            <w:gridSpan w:val="4"/>
          </w:tcPr>
          <w:p>
            <w:pPr>
              <w:spacing w:after="0" w:line="202" w:lineRule="exact"/>
              <w:rPr>
                <w:sz w:val="20"/>
                <w:szCs w:val="20"/>
                <w:color w:val="auto"/>
              </w:rPr>
            </w:pPr>
            <w:r>
              <w:rPr>
                <w:rFonts w:ascii="Arial" w:cs="Arial" w:eastAsia="Arial" w:hAnsi="Arial"/>
                <w:sz w:val="18"/>
                <w:szCs w:val="18"/>
                <w:color w:val="0000FF"/>
              </w:rPr>
              <w:t>Consent of Independent Registered Public Accounting Firm (McConnell &amp; Jones LLP)</w:t>
            </w:r>
          </w:p>
        </w:tc>
      </w:tr>
      <w:tr>
        <w:trPr>
          <w:trHeight w:val="493"/>
        </w:trPr>
        <w:tc>
          <w:tcPr>
            <w:tcW w:w="1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720" w:type="dxa"/>
            <w:vAlign w:val="bottom"/>
            <w:tcBorders>
              <w:top w:val="single" w:sz="8" w:color="0000FF"/>
            </w:tcBorders>
            <w:gridSpan w:val="2"/>
          </w:tcPr>
          <w:p>
            <w:pPr>
              <w:jc w:val="right"/>
              <w:ind w:right="470"/>
              <w:spacing w:after="0"/>
              <w:rPr>
                <w:sz w:val="20"/>
                <w:szCs w:val="20"/>
                <w:color w:val="auto"/>
              </w:rPr>
            </w:pPr>
            <w:r>
              <w:rPr>
                <w:rFonts w:ascii="Arial" w:cs="Arial" w:eastAsia="Arial" w:hAnsi="Arial"/>
                <w:sz w:val="18"/>
                <w:szCs w:val="18"/>
                <w:color w:val="auto"/>
              </w:rPr>
              <w:t>15</w:t>
            </w:r>
          </w:p>
        </w:tc>
        <w:tc>
          <w:tcPr>
            <w:tcW w:w="2100" w:type="dxa"/>
            <w:vAlign w:val="bottom"/>
            <w:tcBorders>
              <w:top w:val="single" w:sz="8" w:color="0000FF"/>
            </w:tcBorders>
          </w:tcPr>
          <w:p>
            <w:pPr>
              <w:spacing w:after="0"/>
              <w:rPr>
                <w:sz w:val="24"/>
                <w:szCs w:val="24"/>
                <w:color w:val="auto"/>
              </w:rPr>
            </w:pPr>
          </w:p>
        </w:tc>
        <w:tc>
          <w:tcPr>
            <w:tcW w:w="2960" w:type="dxa"/>
            <w:vAlign w:val="bottom"/>
          </w:tcPr>
          <w:p>
            <w:pPr>
              <w:spacing w:after="0"/>
              <w:rPr>
                <w:sz w:val="24"/>
                <w:szCs w:val="24"/>
                <w:color w:val="auto"/>
              </w:rPr>
            </w:pPr>
          </w:p>
        </w:tc>
      </w:tr>
    </w:tbl>
    <w:p>
      <w:pPr>
        <w:sectPr>
          <w:pgSz w:w="11900" w:h="16838" w:orient="portrait"/>
          <w:cols w:equalWidth="0" w:num="1">
            <w:col w:w="11420"/>
          </w:cols>
          <w:pgMar w:left="240" w:top="351" w:right="239" w:bottom="1440" w:gutter="0" w:footer="0" w:header="0"/>
        </w:sectPr>
      </w:pPr>
    </w:p>
    <w:bookmarkStart w:id="15" w:name="page16"/>
    <w:bookmarkEnd w:id="15"/>
    <w:p>
      <w:pPr>
        <w:jc w:val="right"/>
        <w:spacing w:after="0"/>
        <w:rPr>
          <w:sz w:val="20"/>
          <w:szCs w:val="20"/>
          <w:color w:val="auto"/>
        </w:rPr>
      </w:pPr>
      <w:r>
        <w:rPr>
          <w:rFonts w:ascii="Arial" w:cs="Arial" w:eastAsia="Arial" w:hAnsi="Arial"/>
          <w:sz w:val="18"/>
          <w:szCs w:val="18"/>
          <w:b w:val="1"/>
          <w:bCs w:val="1"/>
          <w:color w:val="auto"/>
        </w:rPr>
        <w:t>Exhibit 23.1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88" w:lineRule="exact"/>
        <w:rPr>
          <w:sz w:val="20"/>
          <w:szCs w:val="20"/>
          <w:color w:val="auto"/>
        </w:rPr>
      </w:pPr>
    </w:p>
    <w:p>
      <w:pPr>
        <w:spacing w:after="0" w:line="262" w:lineRule="auto"/>
        <w:rPr>
          <w:sz w:val="20"/>
          <w:szCs w:val="20"/>
          <w:color w:val="auto"/>
        </w:rPr>
      </w:pPr>
      <w:r>
        <w:rPr>
          <w:rFonts w:ascii="Arial" w:cs="Arial" w:eastAsia="Arial" w:hAnsi="Arial"/>
          <w:sz w:val="18"/>
          <w:szCs w:val="18"/>
          <w:color w:val="auto"/>
        </w:rPr>
        <w:t>We consent to the incorporation by reference in Registration Statement No. 333-216284 on Form S-8 of our report dated June 28, 2019, appearing in the Annual Report on Form 11-K of the TechnipFMC Retirement Savings Plan for the year ended December 31, 2018.</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McConnell &amp; Jones LLP</w:t>
      </w:r>
    </w:p>
    <w:p>
      <w:pPr>
        <w:spacing w:after="0" w:line="320" w:lineRule="exact"/>
        <w:rPr>
          <w:sz w:val="20"/>
          <w:szCs w:val="20"/>
          <w:color w:val="auto"/>
        </w:rPr>
      </w:pPr>
    </w:p>
    <w:p>
      <w:pPr>
        <w:ind w:left="40"/>
        <w:spacing w:after="0"/>
        <w:rPr>
          <w:sz w:val="20"/>
          <w:szCs w:val="20"/>
          <w:color w:val="auto"/>
        </w:rPr>
      </w:pPr>
      <w:r>
        <w:rPr>
          <w:rFonts w:ascii="Arial" w:cs="Arial" w:eastAsia="Arial" w:hAnsi="Arial"/>
          <w:sz w:val="18"/>
          <w:szCs w:val="18"/>
          <w:color w:val="auto"/>
        </w:rPr>
        <w:t>Houston, Texas</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8"/>
          <w:szCs w:val="18"/>
          <w:color w:val="auto"/>
        </w:rPr>
        <w:t>June 28, 2019</w:t>
      </w:r>
    </w:p>
    <w:sectPr>
      <w:pgSz w:w="11900" w:h="16838" w:orient="portrait"/>
      <w:cols w:equalWidth="0" w:num="1">
        <w:col w:w="11420"/>
      </w:cols>
      <w:pgMar w:left="240" w:top="576"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lowerLetter"/>
      <w:start w:val="1"/>
    </w:lvl>
    <w:lvl w:ilvl="1">
      <w:lvlJc w:val="left"/>
      <w:lvlText w:val="(%2)"/>
      <w:numFmt w:val="lowerLetter"/>
      <w:start w:val="1"/>
    </w:lvl>
  </w:abstractNum>
  <w:abstractNum w:abstractNumId="3">
    <w:nsid w:val="79E2A9E3"/>
    <w:multiLevelType w:val="hybridMultilevel"/>
    <w:lvl w:ilvl="0">
      <w:lvlJc w:val="left"/>
      <w:lvlText w:val="(%1)"/>
      <w:numFmt w:val="lowerLetter"/>
      <w:start w:val="2"/>
    </w:lvl>
  </w:abstractNum>
  <w:abstractNum w:abstractNumId="4">
    <w:nsid w:val="7545E146"/>
    <w:multiLevelType w:val="hybridMultilevel"/>
    <w:lvl w:ilvl="0">
      <w:lvlJc w:val="left"/>
      <w:lvlText w:val="(%1)"/>
      <w:numFmt w:val="lowerLetter"/>
      <w:start w:val="3"/>
    </w:lvl>
  </w:abstractNum>
  <w:abstractNum w:abstractNumId="5">
    <w:nsid w:val="515F007C"/>
    <w:multiLevelType w:val="hybridMultilevel"/>
    <w:lvl w:ilvl="0">
      <w:lvlJc w:val="left"/>
      <w:lvlText w:val="(%1)"/>
      <w:numFmt w:val="lowerLetter"/>
      <w:start w:val="9"/>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5"/>
    </w:lvl>
  </w:abstractNum>
  <w:abstractNum w:abstractNumId="8">
    <w:nsid w:val="4DB127F8"/>
    <w:multiLevelType w:val="hybridMultilevel"/>
    <w:lvl w:ilvl="0">
      <w:lvlJc w:val="left"/>
      <w:lvlText w:val="(%1)"/>
      <w:numFmt w:val="lowerLetter"/>
      <w:start w:val="4"/>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2019-12-01T09:23:12Z</dcterms:created>
  <dcterms:modified xsi:type="dcterms:W3CDTF">2019-12-01T09:23:12Z</dcterms:modified>
</cp:coreProperties>
</file>