
<file path=[Content_Types].xml><?xml version="1.0" encoding="utf-8"?>
<Types xmlns="http://schemas.openxmlformats.org/package/2006/content-types">
  <Default ContentType="image/jpeg" Extension="jpeg"/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1171" w:hAnchor="page" w:vAnchor="page" w:x="276" w:y="146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2023 (“Q3 10-Q”). The Company undertakes to provide similar discussions in its future periodic filings with the SEC.</w:t>
      </w:r>
    </w:p>
    <w:p>
      <w:pPr>
        <w:pStyle w:val="Normal"/>
        <w:framePr w:w="14273" w:hAnchor="page" w:vAnchor="page" w:x="276" w:y="1443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operating profit and other key financial statement line items in the Company’s quarterly report on Form 10-Q for the three months ended September 30,</w:t>
      </w:r>
    </w:p>
    <w:p>
      <w:pPr>
        <w:pStyle w:val="Normal"/>
        <w:framePr w:w="13729" w:hAnchor="page" w:vAnchor="page" w:x="276" w:y="142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Company acknowledges the Staff’s comment, and has included a quantified discussion of material factors impacting the Company’s revenue,</w:t>
      </w:r>
    </w:p>
    <w:p>
      <w:pPr>
        <w:pStyle w:val="Normal"/>
        <w:framePr w:w="1179" w:hAnchor="page" w:vAnchor="page" w:x="276" w:y="137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Response:</w:t>
      </w:r>
    </w:p>
    <w:p>
      <w:pPr>
        <w:pStyle w:val="Normal"/>
        <w:framePr w:w="7516" w:hAnchor="page" w:vAnchor="page" w:x="276" w:y="132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projects or products, where possible. Refer to Item 303(b) of Regulation S-K.</w:t>
      </w:r>
    </w:p>
    <w:p>
      <w:pPr>
        <w:pStyle w:val="Normal"/>
        <w:framePr w:w="14095" w:hAnchor="page" w:vAnchor="page" w:x="276" w:y="130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increase in North American activity. Please revise to include a quantified discussion of the factors impacting such activity with a focus on specific</w:t>
      </w:r>
    </w:p>
    <w:p>
      <w:pPr>
        <w:pStyle w:val="Normal"/>
        <w:framePr w:w="14180" w:hAnchor="page" w:vAnchor="page" w:x="276" w:y="128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discussion of the various factors impacting such change. In addition, you state that the increase in Surface Technologies revenue was driven by an</w:t>
      </w:r>
    </w:p>
    <w:p>
      <w:pPr>
        <w:pStyle w:val="Normal"/>
        <w:framePr w:w="13769" w:hAnchor="page" w:vAnchor="page" w:x="276" w:y="125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due to both volume and pricing in North America. Where a material change is due to two or more factors, please revise to provide a quantified</w:t>
      </w:r>
    </w:p>
    <w:p>
      <w:pPr>
        <w:pStyle w:val="Normal"/>
        <w:framePr w:w="14226" w:hAnchor="page" w:vAnchor="page" w:x="276" w:y="1235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which was offset by the negative impact of foreign exchange. You also indicate that the increase in Surface Technologies operating profit increased</w:t>
      </w:r>
    </w:p>
    <w:p>
      <w:pPr>
        <w:pStyle w:val="Normal"/>
        <w:framePr w:w="13905" w:hAnchor="page" w:vAnchor="page" w:x="276" w:y="121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these factors. For example, you state that subsea revenue increased due to higher project installation activity in Brazil and the United Kingdom,</w:t>
      </w:r>
    </w:p>
    <w:p>
      <w:pPr>
        <w:pStyle w:val="Normal"/>
        <w:framePr w:w="14014" w:hAnchor="page" w:vAnchor="page" w:x="276" w:y="118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1. </w:t>
      </w: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You refer to various factors that impacted your operations both here and in the segment discussion, however, you do not quantify the impact of</w:t>
      </w:r>
    </w:p>
    <w:p>
      <w:pPr>
        <w:pStyle w:val="Normal"/>
        <w:framePr w:w="13183" w:hAnchor="page" w:vAnchor="page" w:x="276" w:y="114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Management’s Discussion and Analysis of Financial Condition and Results of Operations Operating Results of Business Segments, page 48</w:t>
      </w:r>
    </w:p>
    <w:p>
      <w:pPr>
        <w:pStyle w:val="Normal"/>
        <w:framePr w:w="4940" w:hAnchor="page" w:vAnchor="page" w:x="276" w:y="1107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Form 10-K for the Year Ended December 31, 2022</w:t>
      </w:r>
    </w:p>
    <w:p>
      <w:pPr>
        <w:pStyle w:val="Normal"/>
        <w:framePr w:w="10695" w:hAnchor="page" w:vAnchor="page" w:x="276" w:y="105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All terms used but not defined herein have the meanings assigned to such terms in the Form 10-K and Form 8-K.</w:t>
      </w:r>
    </w:p>
    <w:p>
      <w:pPr>
        <w:pStyle w:val="Normal"/>
        <w:framePr w:w="11429" w:hAnchor="page" w:vAnchor="page" w:x="276" w:y="100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Please note that the “Company” or “TechnipFMC” refers to TechnipFMC plc, together with its consolidated subsidiaries.</w:t>
      </w:r>
    </w:p>
    <w:p>
      <w:pPr>
        <w:pStyle w:val="Normal"/>
        <w:framePr w:w="5831" w:hAnchor="page" w:vAnchor="page" w:x="276" w:y="95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bold, followed by the Company’s response to the comments.</w:t>
      </w:r>
    </w:p>
    <w:p>
      <w:pPr>
        <w:pStyle w:val="Normal"/>
        <w:framePr w:w="14320" w:hAnchor="page" w:vAnchor="page" w:x="276" w:y="93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February 24, 2023 (the “Form 10-K”) and Form 8-K filed with the SEC on July 27, 2023 (the “Form 8-K”). The Staff’s comments are set forth below in</w:t>
      </w:r>
    </w:p>
    <w:p>
      <w:pPr>
        <w:pStyle w:val="Normal"/>
        <w:framePr w:w="13437" w:hAnchor="page" w:vAnchor="page" w:x="276" w:y="911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Exchange Commission (the “SEC”), relating to the above-referenced Form 10-K for the year ended December 31, 2022, filed with the SEC on</w:t>
      </w:r>
    </w:p>
    <w:p>
      <w:pPr>
        <w:pStyle w:val="Normal"/>
        <w:framePr w:w="13468" w:hAnchor="page" w:vAnchor="page" w:x="276" w:y="88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This letter responds to the letter dated October 6, 2023, from the staff of the Division of Corporation Finance (the “Staff”) of the Securities and</w:t>
      </w:r>
    </w:p>
    <w:p>
      <w:pPr>
        <w:pStyle w:val="Normal"/>
        <w:framePr w:w="3229" w:hAnchor="page" w:vAnchor="page" w:x="276" w:y="85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Dear Ms. Collins and Ms. Chen:</w:t>
      </w:r>
    </w:p>
    <w:p>
      <w:pPr>
        <w:pStyle w:val="Normal"/>
        <w:framePr w:w="2059" w:hAnchor="page" w:vAnchor="page" w:x="748" w:y="80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File No. 001-37983</w:t>
      </w:r>
    </w:p>
    <w:p>
      <w:pPr>
        <w:pStyle w:val="Normal"/>
        <w:framePr w:w="3358" w:hAnchor="page" w:vAnchor="page" w:x="748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Form 8-K filed on July 27, 2023</w:t>
      </w:r>
    </w:p>
    <w:p>
      <w:pPr>
        <w:pStyle w:val="Normal"/>
        <w:framePr w:w="5190" w:hAnchor="page" w:vAnchor="page" w:x="748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Form 10-K for the Year Ended December 31, 2022</w:t>
      </w:r>
    </w:p>
    <w:p>
      <w:pPr>
        <w:pStyle w:val="Normal"/>
        <w:framePr w:w="2453" w:hAnchor="page" w:vAnchor="page" w:x="276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Re:    TechnipFMC plc</w:t>
      </w:r>
    </w:p>
    <w:p>
      <w:pPr>
        <w:pStyle w:val="Normal"/>
        <w:framePr w:w="4270" w:hAnchor="page" w:vAnchor="page" w:x="276" w:y="68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Attention: Kathleen Collins and Chen Chen</w:t>
      </w:r>
    </w:p>
    <w:p>
      <w:pPr>
        <w:pStyle w:val="Normal"/>
        <w:framePr w:w="2401" w:hAnchor="page" w:vAnchor="page" w:x="276" w:y="630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Washington, DC 20549</w:t>
      </w:r>
    </w:p>
    <w:p>
      <w:pPr>
        <w:pStyle w:val="Normal"/>
        <w:framePr w:w="1899" w:hAnchor="page" w:vAnchor="page" w:x="276" w:y="607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100 F Street, N.E.</w:t>
      </w:r>
    </w:p>
    <w:p>
      <w:pPr>
        <w:pStyle w:val="Normal"/>
        <w:framePr w:w="3242" w:hAnchor="page" w:vAnchor="page" w:x="276" w:y="58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Division of Corporation Finance</w:t>
      </w:r>
    </w:p>
    <w:p>
      <w:pPr>
        <w:pStyle w:val="Normal"/>
        <w:framePr w:w="4199" w:hAnchor="page" w:vAnchor="page" w:x="276" w:y="561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U.S. Securities and Exchange Commission</w:t>
      </w:r>
    </w:p>
    <w:p>
      <w:pPr>
        <w:pStyle w:val="Normal"/>
        <w:framePr w:w="1403" w:hAnchor="page" w:vAnchor="page" w:x="276" w:y="52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Via EDGAR</w:t>
      </w:r>
    </w:p>
    <w:p>
      <w:pPr>
        <w:pStyle w:val="Normal"/>
        <w:framePr w:w="1065" w:hAnchor="page" w:vAnchor="page" w:x="8073" w:y="468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Madrid</w:t>
      </w:r>
    </w:p>
    <w:p>
      <w:pPr>
        <w:pStyle w:val="Normal"/>
        <w:framePr w:w="344" w:hAnchor="page" w:vAnchor="page" w:x="10084" w:y="468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547" w:hAnchor="page" w:vAnchor="page" w:x="8073" w:y="445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Los Angeles</w:t>
      </w:r>
    </w:p>
    <w:p>
      <w:pPr>
        <w:pStyle w:val="Normal"/>
        <w:framePr w:w="2019" w:hAnchor="page" w:vAnchor="page" w:x="10084" w:y="445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Washington, D.C.</w:t>
      </w:r>
    </w:p>
    <w:p>
      <w:pPr>
        <w:pStyle w:val="Normal"/>
        <w:framePr w:w="1104" w:hAnchor="page" w:vAnchor="page" w:x="8073" w:y="422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London</w:t>
      </w:r>
    </w:p>
    <w:p>
      <w:pPr>
        <w:pStyle w:val="Normal"/>
        <w:framePr w:w="955" w:hAnchor="page" w:vAnchor="page" w:x="10084" w:y="422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Tokyo</w:t>
      </w:r>
    </w:p>
    <w:p>
      <w:pPr>
        <w:pStyle w:val="Normal"/>
        <w:framePr w:w="1168" w:hAnchor="page" w:vAnchor="page" w:x="8073" w:y="399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Houston</w:t>
      </w:r>
    </w:p>
    <w:p>
      <w:pPr>
        <w:pStyle w:val="Normal"/>
        <w:framePr w:w="1162" w:hAnchor="page" w:vAnchor="page" w:x="10084" w:y="399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Tel Aviv</w:t>
      </w:r>
    </w:p>
    <w:p>
      <w:pPr>
        <w:pStyle w:val="Normal"/>
        <w:framePr w:w="1470" w:hAnchor="page" w:vAnchor="page" w:x="8073" w:y="376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Hong Kong</w:t>
      </w:r>
    </w:p>
    <w:p>
      <w:pPr>
        <w:pStyle w:val="Normal"/>
        <w:framePr w:w="1305" w:hAnchor="page" w:vAnchor="page" w:x="10084" w:y="376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Singapore</w:t>
      </w:r>
    </w:p>
    <w:p>
      <w:pPr>
        <w:pStyle w:val="Normal"/>
        <w:framePr w:w="1254" w:hAnchor="page" w:vAnchor="page" w:x="8073" w:y="352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Hamburg</w:t>
      </w:r>
    </w:p>
    <w:p>
      <w:pPr>
        <w:pStyle w:val="Normal"/>
        <w:framePr w:w="1671" w:hAnchor="page" w:vAnchor="page" w:x="10084" w:y="352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Silicon Valley</w:t>
      </w:r>
    </w:p>
    <w:p>
      <w:pPr>
        <w:pStyle w:val="Normal"/>
        <w:framePr w:w="1258" w:hAnchor="page" w:vAnchor="page" w:x="8073" w:y="329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Frankfurt</w:t>
      </w:r>
    </w:p>
    <w:p>
      <w:pPr>
        <w:pStyle w:val="Normal"/>
        <w:framePr w:w="894" w:hAnchor="page" w:vAnchor="page" w:x="10084" w:y="329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Seoul</w:t>
      </w:r>
    </w:p>
    <w:p>
      <w:pPr>
        <w:pStyle w:val="Normal"/>
        <w:framePr w:w="1956" w:hAnchor="page" w:vAnchor="page" w:x="276" w:y="30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November 6, 2023</w:t>
      </w:r>
    </w:p>
    <w:p>
      <w:pPr>
        <w:pStyle w:val="Normal"/>
        <w:framePr w:w="1400" w:hAnchor="page" w:vAnchor="page" w:x="8073" w:y="30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Düsseldorf</w:t>
      </w:r>
    </w:p>
    <w:p>
      <w:pPr>
        <w:pStyle w:val="Normal"/>
        <w:framePr w:w="1671" w:hAnchor="page" w:vAnchor="page" w:x="10084" w:y="30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San Francisco</w:t>
      </w:r>
    </w:p>
    <w:p>
      <w:pPr>
        <w:pStyle w:val="Normal"/>
        <w:framePr w:w="950" w:hAnchor="page" w:vAnchor="page" w:x="8073" w:y="283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Dubai</w:t>
      </w:r>
    </w:p>
    <w:p>
      <w:pPr>
        <w:pStyle w:val="Normal"/>
        <w:framePr w:w="1337" w:hAnchor="page" w:vAnchor="page" w:x="10084" w:y="283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San Diego</w:t>
      </w:r>
    </w:p>
    <w:p>
      <w:pPr>
        <w:pStyle w:val="Normal"/>
        <w:framePr w:w="1155" w:hAnchor="page" w:vAnchor="page" w:x="8073" w:y="26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Chicago</w:t>
      </w:r>
    </w:p>
    <w:p>
      <w:pPr>
        <w:pStyle w:val="Normal"/>
        <w:framePr w:w="1035" w:hAnchor="page" w:vAnchor="page" w:x="10084" w:y="26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Riyadh</w:t>
      </w:r>
    </w:p>
    <w:p>
      <w:pPr>
        <w:pStyle w:val="Normal"/>
        <w:framePr w:w="1586" w:hAnchor="page" w:vAnchor="page" w:x="8073" w:y="23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Century City</w:t>
      </w:r>
    </w:p>
    <w:p>
      <w:pPr>
        <w:pStyle w:val="Normal"/>
        <w:framePr w:w="830" w:hAnchor="page" w:vAnchor="page" w:x="10084" w:y="23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Paris</w:t>
      </w:r>
    </w:p>
    <w:p>
      <w:pPr>
        <w:pStyle w:val="Normal"/>
        <w:framePr w:w="1168" w:hAnchor="page" w:vAnchor="page" w:x="8073" w:y="21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Brussels</w:t>
      </w:r>
    </w:p>
    <w:p>
      <w:pPr>
        <w:pStyle w:val="Normal"/>
        <w:framePr w:w="1787" w:hAnchor="page" w:vAnchor="page" w:x="10084" w:y="21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Orange County</w:t>
      </w:r>
    </w:p>
    <w:p>
      <w:pPr>
        <w:pStyle w:val="Normal"/>
        <w:framePr w:w="1040" w:hAnchor="page" w:vAnchor="page" w:x="8073" w:y="19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Boston</w:t>
      </w:r>
    </w:p>
    <w:p>
      <w:pPr>
        <w:pStyle w:val="Normal"/>
        <w:framePr w:w="1314" w:hAnchor="page" w:vAnchor="page" w:x="10084" w:y="19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New York</w:t>
      </w:r>
    </w:p>
    <w:p>
      <w:pPr>
        <w:pStyle w:val="Normal"/>
        <w:framePr w:w="1065" w:hAnchor="page" w:vAnchor="page" w:x="8073" w:y="16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Beijing</w:t>
      </w:r>
    </w:p>
    <w:p>
      <w:pPr>
        <w:pStyle w:val="Normal"/>
        <w:framePr w:w="1087" w:hAnchor="page" w:vAnchor="page" w:x="10084" w:y="16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Munich</w:t>
      </w:r>
    </w:p>
    <w:p>
      <w:pPr>
        <w:pStyle w:val="Normal"/>
        <w:framePr w:w="1001" w:hAnchor="page" w:vAnchor="page" w:x="8073" w:y="14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Austin</w:t>
      </w:r>
    </w:p>
    <w:p>
      <w:pPr>
        <w:pStyle w:val="Normal"/>
        <w:framePr w:w="920" w:hAnchor="page" w:vAnchor="page" w:x="10084" w:y="14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Milan</w:t>
      </w:r>
    </w:p>
    <w:p>
      <w:pPr>
        <w:pStyle w:val="Normal"/>
        <w:framePr w:w="3258" w:hAnchor="page" w:vAnchor="page" w:x="8073" w:y="12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FIRM / AFFILIATE OFFICES</w:t>
      </w:r>
    </w:p>
    <w:p>
      <w:pPr>
        <w:pStyle w:val="Normal"/>
        <w:framePr w:w="344" w:hAnchor="page" w:vAnchor="page" w:x="8073" w:y="8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45" w:hAnchor="page" w:vAnchor="page" w:x="8203" w:y="85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www.lw.com</w:t>
      </w:r>
    </w:p>
    <w:p>
      <w:pPr>
        <w:pStyle w:val="Normal"/>
        <w:framePr w:w="4322" w:hAnchor="page" w:vAnchor="page" w:x="8203" w:y="62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Tel: +1.202.637.2200 Fax: +1.202.637.2201</w:t>
      </w:r>
    </w:p>
    <w:p>
      <w:pPr>
        <w:pStyle w:val="Normal"/>
        <w:framePr w:w="3056" w:hAnchor="page" w:vAnchor="page" w:x="8203" w:y="3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Washington, D.C. 20004-1304</w:t>
      </w:r>
    </w:p>
    <w:p>
      <w:pPr>
        <w:pStyle w:val="Normal"/>
        <w:framePr w:w="3760" w:hAnchor="page" w:vAnchor="page" w:x="8203" w:y="15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555 Eleventh Street, N.W., Suite 1000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.8pt;margin-top:60.6pt;z-index:-16777208;width:205.4pt;height:2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2.8pt;margin-top:271.5pt;z-index:-16777204;width:50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12.8pt;margin-top:562.3pt;z-index:-16777200;width:25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36.1pt;margin-top:562.3pt;z-index:-16777196;width:21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55.9pt;margin-top:562.3pt;z-index:-16777192;width:15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12.8pt;margin-top:579.65pt;z-index:-16777188;width:347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361.1pt;margin-top:579.65pt;z-index:-16777184;width:193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12.8pt;margin-top:695.35pt;z-index:-16777180;width:3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</w:p>
    <w:p>
      <w:pPr>
        <w:pStyle w:val="Normal"/>
        <w:framePr w:w="344" w:hAnchor="page" w:vAnchor="page" w:x="6130" w:y="133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2</w:t>
      </w:r>
    </w:p>
    <w:p>
      <w:pPr>
        <w:pStyle w:val="Normal"/>
        <w:framePr w:w="459" w:hAnchor="page" w:vAnchor="page" w:x="276" w:y="1296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97</w:t>
      </w:r>
    </w:p>
    <w:p>
      <w:pPr>
        <w:pStyle w:val="Normal"/>
        <w:framePr w:w="14355" w:hAnchor="page" w:vAnchor="page" w:x="276" w:y="1272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Consolidated Financial Statements of TechnipFMC PLC and Consolidated Subsidiaries Note 22. Pension and Other Post-Retirement Benefit Plans, page</w:t>
      </w:r>
    </w:p>
    <w:p>
      <w:pPr>
        <w:pStyle w:val="Normal"/>
        <w:framePr w:w="1250" w:hAnchor="page" w:vAnchor="page" w:x="276" w:y="122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operations.</w:t>
      </w:r>
    </w:p>
    <w:p>
      <w:pPr>
        <w:pStyle w:val="Normal"/>
        <w:framePr w:w="13710" w:hAnchor="page" w:vAnchor="page" w:x="276" w:y="1203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conversations with its customers, while such information does not provide investors with meaningful insights on the Company’s overall results of</w:t>
      </w:r>
    </w:p>
    <w:p>
      <w:pPr>
        <w:pStyle w:val="Normal"/>
        <w:framePr w:w="13397" w:hAnchor="page" w:vAnchor="page" w:x="276" w:y="118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business and future prospects as information on activity, pricing, inventory and other data could negatively impact the Company’s commercial</w:t>
      </w:r>
    </w:p>
    <w:p>
      <w:pPr>
        <w:pStyle w:val="Normal"/>
        <w:framePr w:w="13702" w:hAnchor="page" w:vAnchor="page" w:x="276" w:y="115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Company also believes that periodic disclosure of factors impacting individual product lines could cause competitive harm to the Company’s</w:t>
      </w:r>
    </w:p>
    <w:p>
      <w:pPr>
        <w:pStyle w:val="Normal"/>
        <w:framePr w:w="4415" w:hAnchor="page" w:vAnchor="page" w:x="276" w:y="111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risk to future project awards to the Company.</w:t>
      </w:r>
    </w:p>
    <w:p>
      <w:pPr>
        <w:pStyle w:val="Normal"/>
        <w:framePr w:w="14222" w:hAnchor="page" w:vAnchor="page" w:x="276" w:y="1087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of project-level information, while immaterial to investors, could cause competitive harm to the business of the Company’s customers and in turn, pose</w:t>
      </w:r>
    </w:p>
    <w:p>
      <w:pPr>
        <w:pStyle w:val="Normal"/>
        <w:framePr w:w="14172" w:hAnchor="page" w:vAnchor="page" w:x="276" w:y="106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market-sensitive customer information, particularly where the Company’s work scope represents a material portion of a customer’s project. Disclosure</w:t>
      </w:r>
    </w:p>
    <w:p>
      <w:pPr>
        <w:pStyle w:val="Normal"/>
        <w:framePr w:w="14256" w:hAnchor="page" w:vAnchor="page" w:x="276" w:y="104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Moreover, project-related activities contribute to more than half of the Company’s revenue, and disclosure on specific projects could result in release of</w:t>
      </w:r>
    </w:p>
    <w:p>
      <w:pPr>
        <w:pStyle w:val="Normal"/>
        <w:framePr w:w="7191" w:hAnchor="page" w:vAnchor="page" w:x="276" w:y="995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large backlog of projects and diversity of the Company’s product offerings.</w:t>
      </w:r>
    </w:p>
    <w:p>
      <w:pPr>
        <w:pStyle w:val="Normal"/>
        <w:framePr w:w="14094" w:hAnchor="page" w:vAnchor="page" w:x="276" w:y="972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based on specific projects and individual product lines does not provide meaningful insights on the Company’s overall results of operations due to the</w:t>
      </w:r>
    </w:p>
    <w:p>
      <w:pPr>
        <w:pStyle w:val="Normal"/>
        <w:framePr w:w="14203" w:hAnchor="page" w:vAnchor="page" w:x="276" w:y="948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Additionally, the Company respectfully advises the Staff that, it believes a quantified discussion of factors impacting key financial statement line items</w:t>
      </w:r>
    </w:p>
    <w:p>
      <w:pPr>
        <w:pStyle w:val="Normal"/>
        <w:framePr w:w="7387" w:hAnchor="page" w:vAnchor="page" w:x="276" w:y="902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operational performance and $5.3 million due to higher Middle East activity.</w:t>
      </w:r>
    </w:p>
    <w:p>
      <w:pPr>
        <w:pStyle w:val="Normal"/>
        <w:framePr w:w="13659" w:hAnchor="page" w:vAnchor="page" w:x="276" w:y="879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Surface Technologies operating profit increased versus the prior year by $14.3 million, of which $7.2 million is due to North America’s improved</w:t>
      </w:r>
    </w:p>
    <w:p>
      <w:pPr>
        <w:pStyle w:val="Normal"/>
        <w:framePr w:w="6409" w:hAnchor="page" w:vAnchor="page" w:x="276" w:y="82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which the Middle East represented 25.2% and 20.6%, respectively.</w:t>
      </w:r>
    </w:p>
    <w:p>
      <w:pPr>
        <w:pStyle w:val="Normal"/>
        <w:framePr w:w="14307" w:hAnchor="page" w:vAnchor="page" w:x="276" w:y="79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three months ended September 30, 2023 and 2022, 60.6% and 54.0% of total segment revenue, respectively, was generated outside of North America, of</w:t>
      </w:r>
    </w:p>
    <w:p>
      <w:pPr>
        <w:pStyle w:val="Normal"/>
        <w:framePr w:w="13874" w:hAnchor="page" w:vAnchor="page" w:x="276" w:y="775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Surface Technologies revenue increased by $30.6 million, $22.2 million of which is attributable to increased activity in the Middle East. During the</w:t>
      </w:r>
    </w:p>
    <w:p>
      <w:pPr>
        <w:pStyle w:val="Normal"/>
        <w:framePr w:w="9864" w:hAnchor="page" w:vAnchor="page" w:x="276" w:y="717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$52.7 million in favorable activity mix, partially offset by a $22.0 million increase in operating expense.</w:t>
      </w:r>
    </w:p>
    <w:p>
      <w:pPr>
        <w:pStyle w:val="Normal"/>
        <w:framePr w:w="14080" w:hAnchor="page" w:vAnchor="page" w:x="276" w:y="694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Subsea operating profit for the three months ended September 30, 2023, increased by $72.7 million. $42.0 million comes from volume, combined with</w:t>
      </w:r>
    </w:p>
    <w:p>
      <w:pPr>
        <w:pStyle w:val="Normal"/>
        <w:framePr w:w="1166" w:hAnchor="page" w:vAnchor="page" w:x="276" w:y="63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the world.</w:t>
      </w:r>
    </w:p>
    <w:p>
      <w:pPr>
        <w:pStyle w:val="Normal"/>
        <w:framePr w:w="14154" w:hAnchor="page" w:vAnchor="page" w:x="276" w:y="61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increase comes from Brazil, $116.9 million from Norway and $54.1 million from the United States, offset by net $20.9 million decrease from the rest of</w:t>
      </w:r>
    </w:p>
    <w:p>
      <w:pPr>
        <w:pStyle w:val="Normal"/>
        <w:framePr w:w="13624" w:hAnchor="page" w:vAnchor="page" w:x="276" w:y="590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Subsea revenue increased $293.3 million, as a continued positive impact of the backlog increase in 2022, compared to prior year. $143.6 million</w:t>
      </w:r>
    </w:p>
    <w:p>
      <w:pPr>
        <w:pStyle w:val="Normal"/>
        <w:framePr w:w="8310" w:hAnchor="page" w:vAnchor="page" w:x="276" w:y="532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improved operational performance and $6.4 million due to higher Middle East activity.</w:t>
      </w:r>
    </w:p>
    <w:p>
      <w:pPr>
        <w:pStyle w:val="Normal"/>
        <w:framePr w:w="13932" w:hAnchor="page" w:vAnchor="page" w:x="276" w:y="50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in favorable activity mix. Surface Technologies gross profit increased year-over-year by $13.1 million, of which $9.4 million due to North America’s</w:t>
      </w:r>
    </w:p>
    <w:p>
      <w:pPr>
        <w:pStyle w:val="Normal"/>
        <w:framePr w:w="14294" w:hAnchor="page" w:vAnchor="page" w:x="276" w:y="485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the prior-year period. Subsea gross profit increased year over year by $94.7 million, of which $42.0 million is due to volume increase and $52.7 million</w:t>
      </w:r>
    </w:p>
    <w:p>
      <w:pPr>
        <w:pStyle w:val="Normal"/>
        <w:framePr w:w="14153" w:hAnchor="page" w:vAnchor="page" w:x="276" w:y="46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Gross profit (revenue less cost of sales) increased to $366.9 million during the three months ended September 30, 2023, compared to $256.0 million in</w:t>
      </w:r>
    </w:p>
    <w:p>
      <w:pPr>
        <w:pStyle w:val="Normal"/>
        <w:framePr w:w="1361" w:hAnchor="page" w:vAnchor="page" w:x="276" w:y="42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Gross Profit</w:t>
      </w:r>
    </w:p>
    <w:p>
      <w:pPr>
        <w:pStyle w:val="Normal"/>
        <w:framePr w:w="1410" w:hAnchor="page" w:vAnchor="page" w:x="276" w:y="37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Middle East.</w:t>
      </w:r>
    </w:p>
    <w:p>
      <w:pPr>
        <w:pStyle w:val="Normal"/>
        <w:framePr w:w="14268" w:hAnchor="page" w:vAnchor="page" w:x="276" w:y="34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project revenues over the period. Surface Technologies revenue increased by $30.6 million, out of which $22.2 million is due to increased activity in the</w:t>
      </w:r>
    </w:p>
    <w:p>
      <w:pPr>
        <w:pStyle w:val="Normal"/>
        <w:framePr w:w="13713" w:hAnchor="page" w:vAnchor="page" w:x="276" w:y="32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by $293.3 million, primarily driven by a 24.5% higher backlog as of December 31, 2021, than December 31, 2022, converting into an increase in</w:t>
      </w:r>
    </w:p>
    <w:p>
      <w:pPr>
        <w:pStyle w:val="Normal"/>
        <w:framePr w:w="14212" w:hAnchor="page" w:vAnchor="page" w:x="276" w:y="30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Revenue increased $323.9 million during the three months ended September 30, 2023, compared to the same period in 2022. Subsea revenue increased</w:t>
      </w:r>
    </w:p>
    <w:p>
      <w:pPr>
        <w:pStyle w:val="Normal"/>
        <w:framePr w:w="1011" w:hAnchor="page" w:vAnchor="page" w:x="276" w:y="266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Revenue</w:t>
      </w:r>
    </w:p>
    <w:p>
      <w:pPr>
        <w:pStyle w:val="Normal"/>
        <w:framePr w:w="4988" w:hAnchor="page" w:vAnchor="page" w:x="4195" w:y="23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Three Months Ended September 30, 2023 and 2022</w:t>
      </w:r>
    </w:p>
    <w:p>
      <w:pPr>
        <w:pStyle w:val="Normal"/>
        <w:framePr w:w="5374" w:hAnchor="page" w:vAnchor="page" w:x="4034" w:y="208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Consolidated Results of Operations of TechnipFMC plc</w:t>
      </w:r>
    </w:p>
    <w:p>
      <w:pPr>
        <w:pStyle w:val="Normal"/>
        <w:framePr w:w="2123" w:hAnchor="page" w:vAnchor="page" w:x="276" w:y="16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illustrative example:</w:t>
      </w:r>
    </w:p>
    <w:p>
      <w:pPr>
        <w:pStyle w:val="Normal"/>
        <w:framePr w:w="13998" w:hAnchor="page" w:vAnchor="page" w:x="276" w:y="13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The comparison of the three months ended September 30, 2023 and 2022, as included in the Company’s Q3 10-Q, is set forth below 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(in italics)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as an</w:t>
      </w:r>
    </w:p>
    <w:p>
      <w:pPr>
        <w:pStyle w:val="Normal"/>
        <w:framePr w:w="877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Page 2</w:t>
      </w:r>
    </w:p>
    <w:p>
      <w:pPr>
        <w:pStyle w:val="Normal"/>
        <w:framePr w:w="2008" w:hAnchor="page" w:vAnchor="page" w:x="27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November 6, 2023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7pt;margin-top:1pt;z-index:-16777176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2.8pt;margin-top:1pt;z-index:-1677717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2.8pt;margin-top:2.45pt;z-index:-1677716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597.95pt;margin-top:1pt;z-index:-1677716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2.8pt;margin-top:1pt;z-index:-16777160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3.8pt;margin-top:46.1pt;z-index:-16777156;width:146.1pt;height:16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00.7pt;margin-top:112.4pt;z-index:-16777152;width:21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208.75pt;margin-top:123.95pt;z-index:-16777148;width:200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2.8pt;margin-top:644.75pt;z-index:-16777144;width:339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352.45pt;margin-top:644.75pt;z-index:-16777140;width:2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12.8pt;margin-top:656.3pt;z-index:-16777136;width:1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</w:p>
    <w:p>
      <w:pPr>
        <w:pStyle w:val="Normal"/>
        <w:framePr w:w="344" w:hAnchor="page" w:vAnchor="page" w:x="6130" w:y="132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3</w:t>
      </w:r>
    </w:p>
    <w:p>
      <w:pPr>
        <w:pStyle w:val="Normal"/>
        <w:framePr w:w="3692" w:hAnchor="page" w:vAnchor="page" w:x="276" w:y="1288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proposed revisions in your response.</w:t>
      </w:r>
    </w:p>
    <w:p>
      <w:pPr>
        <w:pStyle w:val="Normal"/>
        <w:framePr w:w="13507" w:hAnchor="page" w:vAnchor="page" w:x="276" w:y="126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misleading” as your current disclosures appear to imply that the GAAP financial measures could potentially be misleading. Provide us with</w:t>
      </w:r>
    </w:p>
    <w:p>
      <w:pPr>
        <w:pStyle w:val="Normal"/>
        <w:framePr w:w="14025" w:hAnchor="page" w:vAnchor="page" w:x="276" w:y="1242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otherwise be masked or misleading to both investors and management by the excluded items. Please revise to remove the reference to “masked or</w:t>
      </w:r>
    </w:p>
    <w:p>
      <w:pPr>
        <w:pStyle w:val="Normal"/>
        <w:framePr w:w="14215" w:hAnchor="page" w:vAnchor="page" w:x="276" w:y="121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effectively evaluate TechnipFMC’s operations and consolidated results of operations period-over-period, and to identify operating trends that could</w:t>
      </w:r>
    </w:p>
    <w:p>
      <w:pPr>
        <w:pStyle w:val="Normal"/>
        <w:framePr w:w="14393" w:hAnchor="page" w:vAnchor="page" w:x="276" w:y="1196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3. </w:t>
      </w: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You state that management believes the exclusion of charges and credits from your financial measures enables investors and management to more</w:t>
      </w:r>
    </w:p>
    <w:p>
      <w:pPr>
        <w:pStyle w:val="Normal"/>
        <w:framePr w:w="6570" w:hAnchor="page" w:vAnchor="page" w:x="276" w:y="114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Reconciliation of GAAP to non-GAAP Financial Measures, page 18</w:t>
      </w:r>
    </w:p>
    <w:p>
      <w:pPr>
        <w:pStyle w:val="Normal"/>
        <w:framePr w:w="1372" w:hAnchor="page" w:vAnchor="page" w:x="276" w:y="112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Exhibit 99.1</w:t>
      </w:r>
    </w:p>
    <w:p>
      <w:pPr>
        <w:pStyle w:val="Normal"/>
        <w:framePr w:w="4386" w:hAnchor="page" w:vAnchor="page" w:x="276" w:y="110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2.02 Form 8-K Furnished July 27, 2023</w:t>
      </w:r>
    </w:p>
    <w:p>
      <w:pPr>
        <w:pStyle w:val="Normal"/>
        <w:framePr w:w="11535" w:hAnchor="page" w:vAnchor="page" w:x="276" w:y="105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other post-retirement benefit plans, and as such, the error does not represent a significant deficiency or material weakness.</w:t>
      </w:r>
    </w:p>
    <w:p>
      <w:pPr>
        <w:pStyle w:val="Normal"/>
        <w:framePr w:w="13933" w:hAnchor="page" w:vAnchor="page" w:x="276" w:y="1034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Company’s key control process and is not indicative of a systemic failure of controls on the calculation and reporting of the Company’s pension and</w:t>
      </w:r>
    </w:p>
    <w:p>
      <w:pPr>
        <w:pStyle w:val="Normal"/>
        <w:framePr w:w="13990" w:hAnchor="page" w:vAnchor="page" w:x="276" w:y="101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Management also assessed the control failure associated with the arithmetic error and concluded that the error was an isolated incident outside of the</w:t>
      </w:r>
    </w:p>
    <w:p>
      <w:pPr>
        <w:pStyle w:val="Normal"/>
        <w:framePr w:w="13335" w:hAnchor="page" w:vAnchor="page" w:x="276" w:y="96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will be corrected in the Company’s annual report on Form 10-K for the year ending December 31, 2023 and future SEC filings, as applicable.</w:t>
      </w:r>
    </w:p>
    <w:p>
      <w:pPr>
        <w:pStyle w:val="Normal"/>
        <w:framePr w:w="14150" w:hAnchor="page" w:vAnchor="page" w:x="276" w:y="941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market reaction, positive or negative. Management therefore determined this error is immaterial to previously issued financial statements and the error</w:t>
      </w:r>
    </w:p>
    <w:p>
      <w:pPr>
        <w:pStyle w:val="Normal"/>
        <w:framePr w:w="14286" w:hAnchor="page" w:vAnchor="page" w:x="276" w:y="91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Company’s Form 10-K would have been changed or influenced by this item. Management concluded that correction of the error would not result in any</w:t>
      </w:r>
    </w:p>
    <w:p>
      <w:pPr>
        <w:pStyle w:val="Normal"/>
        <w:framePr w:w="14248" w:hAnchor="page" w:vAnchor="page" w:x="276" w:y="89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significant to the users of its financial statements as it is not probable that the judgment of a reasonable person relying on the financial statements in the</w:t>
      </w:r>
    </w:p>
    <w:p>
      <w:pPr>
        <w:pStyle w:val="Normal"/>
        <w:framePr w:w="14080" w:hAnchor="page" w:vAnchor="page" w:x="276" w:y="87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 material impact on the Company’s reported results. Based on this assessment, management concluded that the weighted-average discount rate is not</w:t>
      </w:r>
    </w:p>
    <w:p>
      <w:pPr>
        <w:pStyle w:val="Normal"/>
        <w:framePr w:w="14342" w:hAnchor="page" w:vAnchor="page" w:x="276" w:y="84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Company’s assessment considered both quantitative and qualitative factors and the effect of the error, including an analysis of whether the error had</w:t>
      </w:r>
    </w:p>
    <w:p>
      <w:pPr>
        <w:pStyle w:val="Normal"/>
        <w:framePr w:w="14050" w:hAnchor="page" w:vAnchor="page" w:x="276" w:y="82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Management performed and documented an assessment of the error noted above based on Staff Accounting Bulletin No. 99: Materiality (“SAB 99”).</w:t>
      </w:r>
    </w:p>
    <w:p>
      <w:pPr>
        <w:pStyle w:val="Normal"/>
        <w:framePr w:w="11266" w:hAnchor="page" w:vAnchor="page" w:x="276" w:y="779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during fiscal year 2022, the Company observed increases in corporate and government bond yields across all countries.</w:t>
      </w:r>
    </w:p>
    <w:p>
      <w:pPr>
        <w:pStyle w:val="Normal"/>
        <w:framePr w:w="13833" w:hAnchor="page" w:vAnchor="page" w:x="276" w:y="75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with reference to a government bond index. There was no change in methodologies in determining discount rate at fiscal 2021 and 2022. However,</w:t>
      </w:r>
    </w:p>
    <w:p>
      <w:pPr>
        <w:pStyle w:val="Normal"/>
        <w:framePr w:w="14082" w:hAnchor="page" w:vAnchor="page" w:x="276" w:y="73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calculate the present value of each individual plan. For countries that lack a sufficient corporate bond market, such as Brazil, the discount rate was set</w:t>
      </w:r>
    </w:p>
    <w:p>
      <w:pPr>
        <w:pStyle w:val="Normal"/>
        <w:framePr w:w="13771" w:hAnchor="page" w:vAnchor="page" w:x="276" w:y="71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quality corporate bonds available in each market. A single equivalent discount rate within the same market as of a fiscal year end was then used to</w:t>
      </w:r>
    </w:p>
    <w:p>
      <w:pPr>
        <w:pStyle w:val="Normal"/>
        <w:framePr w:w="13938" w:hAnchor="page" w:vAnchor="page" w:x="276" w:y="68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discount rates for all international plans were derived using each plan’s projected benefit cashflows and a yield curve constructed based on high</w:t>
      </w:r>
    </w:p>
    <w:p>
      <w:pPr>
        <w:pStyle w:val="Normal"/>
        <w:framePr w:w="2092" w:hAnchor="page" w:vAnchor="page" w:x="1317" w:y="64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pension obligations.</w:t>
      </w:r>
    </w:p>
    <w:p>
      <w:pPr>
        <w:pStyle w:val="Normal"/>
        <w:framePr w:w="309" w:hAnchor="page" w:vAnchor="page" w:x="854" w:y="61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603" w:hAnchor="page" w:vAnchor="page" w:x="1317" w:y="61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rates in the range of 3.7%—9.9% for the rest of the Company’s international plans, making up the remaining 7% of total international</w:t>
      </w:r>
    </w:p>
    <w:p>
      <w:pPr>
        <w:pStyle w:val="Normal"/>
        <w:framePr w:w="309" w:hAnchor="page" w:vAnchor="page" w:x="854" w:y="58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8517" w:hAnchor="page" w:vAnchor="page" w:x="1317" w:y="58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3.8% for the French plans, representing 7% of total international pension obligations; and</w:t>
      </w:r>
    </w:p>
    <w:p>
      <w:pPr>
        <w:pStyle w:val="Normal"/>
        <w:framePr w:w="309" w:hAnchor="page" w:vAnchor="page" w:x="854" w:y="545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8048" w:hAnchor="page" w:vAnchor="page" w:x="1317" w:y="545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4.9% for the U.K. plans, representing 86% of total international pension obligations;</w:t>
      </w:r>
    </w:p>
    <w:p>
      <w:pPr>
        <w:pStyle w:val="Normal"/>
        <w:framePr w:w="4629" w:hAnchor="page" w:vAnchor="page" w:x="276" w:y="50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discount rates used in the calculation were:</w:t>
      </w:r>
    </w:p>
    <w:p>
      <w:pPr>
        <w:pStyle w:val="Normal"/>
        <w:framePr w:w="4802" w:hAnchor="page" w:vAnchor="page" w:x="276" w:y="46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(arithmetic average instead of weighted average).</w:t>
      </w:r>
    </w:p>
    <w:p>
      <w:pPr>
        <w:pStyle w:val="Normal"/>
        <w:framePr w:w="13795" w:hAnchor="page" w:vAnchor="page" w:x="276" w:y="439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specific discount rates were aggregated to generate the weighted-average discount rate where the arithmetic error occurred due to a wrong formula</w:t>
      </w:r>
    </w:p>
    <w:p>
      <w:pPr>
        <w:pStyle w:val="Normal"/>
        <w:framePr w:w="13617" w:hAnchor="page" w:vAnchor="page" w:x="276" w:y="41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and recording pension benefit obligation as of December 31, 2022, as the calculation was performed by country and/or plan. The correct country</w:t>
      </w:r>
    </w:p>
    <w:p>
      <w:pPr>
        <w:pStyle w:val="Normal"/>
        <w:framePr w:w="14219" w:hAnchor="page" w:vAnchor="page" w:x="276" w:y="39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to the consolidated financial statements in the Form 10-K and the correct country specific discount rates, as shown below, were used when determining</w:t>
      </w:r>
    </w:p>
    <w:p>
      <w:pPr>
        <w:pStyle w:val="Normal"/>
        <w:framePr w:w="14228" w:hAnchor="page" w:vAnchor="page" w:x="276" w:y="37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This error relates only to the weighted-average discount rate for the Company’s international pension plans in fiscal 2022 that was disclosed in Note 22</w:t>
      </w:r>
    </w:p>
    <w:p>
      <w:pPr>
        <w:pStyle w:val="Normal"/>
        <w:framePr w:w="6466" w:hAnchor="page" w:vAnchor="page" w:x="276" w:y="32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report on Form 10-K for the fiscal year ending December 31, 2023.</w:t>
      </w:r>
    </w:p>
    <w:p>
      <w:pPr>
        <w:pStyle w:val="Normal"/>
        <w:framePr w:w="14177" w:hAnchor="page" w:vAnchor="page" w:x="276" w:y="30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discount rate of 9.97% disclosed in the Form 10-K was incorrect due to an arithmetic error. The Company will correct the error in its upcoming annual</w:t>
      </w:r>
    </w:p>
    <w:p>
      <w:pPr>
        <w:pStyle w:val="Normal"/>
        <w:framePr w:w="13600" w:hAnchor="page" w:vAnchor="page" w:x="276" w:y="27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Company respectfully advises the Staff that the weighted-average discount rate as of December 31, 2022 was 4.89%. The weighted-average</w:t>
      </w:r>
    </w:p>
    <w:p>
      <w:pPr>
        <w:pStyle w:val="Normal"/>
        <w:framePr w:w="1179" w:hAnchor="page" w:vAnchor="page" w:x="276" w:y="242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Response:</w:t>
      </w:r>
    </w:p>
    <w:p>
      <w:pPr>
        <w:pStyle w:val="Normal"/>
        <w:framePr w:w="11949" w:hAnchor="page" w:vAnchor="page" w:x="276" w:y="18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determining your weighted-average assumptions for each of Netherlands, France, Germany, United Kingdom and Canada.</w:t>
      </w:r>
    </w:p>
    <w:p>
      <w:pPr>
        <w:pStyle w:val="Normal"/>
        <w:framePr w:w="14310" w:hAnchor="page" w:vAnchor="page" w:x="276" w:y="16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compared to a discount rate of 1.99% in fiscal 2021. Please explain to us the reason for such increase and provide us with the discount rates used in</w:t>
      </w:r>
    </w:p>
    <w:p>
      <w:pPr>
        <w:pStyle w:val="Normal"/>
        <w:framePr w:w="14357" w:hAnchor="page" w:vAnchor="page" w:x="276" w:y="13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2. </w:t>
      </w: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We note that you used a weighted-average discount rate of 9.97% to determine the benefit obligation for international pension plans in fiscal 2022</w:t>
      </w:r>
    </w:p>
    <w:p>
      <w:pPr>
        <w:pStyle w:val="Normal"/>
        <w:framePr w:w="877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Page 3</w:t>
      </w:r>
    </w:p>
    <w:p>
      <w:pPr>
        <w:pStyle w:val="Normal"/>
        <w:framePr w:w="2008" w:hAnchor="page" w:vAnchor="page" w:x="27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November 6, 2023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7pt;margin-top:1pt;z-index:-16777132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8pt;margin-top:1pt;z-index:-1677712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8pt;margin-top:2.45pt;z-index:-16777124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7.95pt;margin-top:1pt;z-index:-16777120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8pt;margin-top:1pt;z-index:-16777116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8pt;margin-top:46.1pt;z-index:-16777112;width:146.1pt;height:16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2.8pt;margin-top:129.75pt;z-index:-16777108;width:3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12.8pt;margin-top:560.1pt;z-index:-16777104;width:64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75.45pt;margin-top:560.1pt;z-index:-16777100;width:1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90.45pt;margin-top:560.1pt;z-index:-16777096;width:97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2.8pt;margin-top:571.7pt;z-index:-16777092;width:49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12.8pt;margin-top:583.25pt;z-index:-16777088;width:10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20.4pt;margin-top:583.25pt;z-index:-16777084;width:4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64.3pt;margin-top:583.25pt;z-index:-16777080;width:11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</w:p>
    <w:p>
      <w:pPr>
        <w:pStyle w:val="Normal"/>
        <w:framePr w:w="344" w:hAnchor="page" w:vAnchor="page" w:x="6130" w:y="143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4</w:t>
      </w:r>
    </w:p>
    <w:p>
      <w:pPr>
        <w:pStyle w:val="Normal"/>
        <w:framePr w:w="2843" w:hAnchor="page" w:vAnchor="page" w:x="276" w:y="140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U.K. net deferred tax assets.</w:t>
      </w:r>
    </w:p>
    <w:p>
      <w:pPr>
        <w:pStyle w:val="Normal"/>
        <w:framePr w:w="14299" w:hAnchor="page" w:vAnchor="page" w:x="276" w:y="137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adjustment was zero, given that the UK entity had significant U.K. net operating loss carryforwards and established full valuation allowances against its</w:t>
      </w:r>
    </w:p>
    <w:p>
      <w:pPr>
        <w:pStyle w:val="Normal"/>
        <w:framePr w:w="13659" w:hAnchor="page" w:vAnchor="page" w:x="276" w:y="135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Gains and losses of the sales were recorded in a UK entity and treated as non-deductible permanent difference. The tax effects of this non-GAAP</w:t>
      </w:r>
    </w:p>
    <w:p>
      <w:pPr>
        <w:pStyle w:val="Normal"/>
        <w:framePr w:w="14273" w:hAnchor="page" w:vAnchor="page" w:x="276" w:y="133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mark-to-market valuation on the Company’s investment in Technip Energies and the gains and losses resulting from sale transactions of the investment.</w:t>
      </w:r>
    </w:p>
    <w:p>
      <w:pPr>
        <w:pStyle w:val="Normal"/>
        <w:framePr w:w="13195" w:hAnchor="page" w:vAnchor="page" w:x="276" w:y="130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For Loss from investment in Technip Energies, as included in the Company’s 2022 Q4 Earnings Release, the charges reflect the net value of</w:t>
      </w:r>
    </w:p>
    <w:p>
      <w:pPr>
        <w:pStyle w:val="Normal"/>
        <w:framePr w:w="7640" w:hAnchor="page" w:vAnchor="page" w:x="276" w:y="126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assets, and as a result, there was no further tax effect of the Impairment charges.</w:t>
      </w:r>
    </w:p>
    <w:p>
      <w:pPr>
        <w:pStyle w:val="Normal"/>
        <w:framePr w:w="14234" w:hAnchor="page" w:vAnchor="page" w:x="276" w:y="1238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Release”), the underlying non-GAAP adjustments relate to various jurisdictions with a full valuation allowance against their respective net deferred tax</w:t>
      </w:r>
    </w:p>
    <w:p>
      <w:pPr>
        <w:pStyle w:val="Normal"/>
        <w:framePr w:w="14365" w:hAnchor="page" w:vAnchor="page" w:x="276" w:y="121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For Impairment charges, as included in the Company’s earnings release for the three months and year ended December 31, 2022 (the “2022 Q4 Earnings</w:t>
      </w:r>
    </w:p>
    <w:p>
      <w:pPr>
        <w:pStyle w:val="Normal"/>
        <w:framePr w:w="5924" w:hAnchor="page" w:vAnchor="page" w:x="276" w:y="116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difference and as such, did not trigger tax charges or benefits.</w:t>
      </w:r>
    </w:p>
    <w:p>
      <w:pPr>
        <w:pStyle w:val="Normal"/>
        <w:framePr w:w="13722" w:hAnchor="page" w:vAnchor="page" w:x="276" w:y="1145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Form 10-Q for the three months ended June 30, 2023). For taxation purposes, the charges were treated as a penalty and non-deductible permanent</w:t>
      </w:r>
    </w:p>
    <w:p>
      <w:pPr>
        <w:pStyle w:val="Normal"/>
        <w:framePr w:w="13868" w:hAnchor="page" w:vAnchor="page" w:x="276" w:y="112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8-K earnings release, reflect the impact of the resolution of all outstanding matters with the PNF (see Note 13 of the Company’s quarterly report on</w:t>
      </w:r>
    </w:p>
    <w:p>
      <w:pPr>
        <w:pStyle w:val="Normal"/>
        <w:framePr w:w="14384" w:hAnchor="page" w:vAnchor="page" w:x="276" w:y="109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Non-recurring legal settlement charges, as included in the Company’s earnings release for the three months ended September 30, 2023 and the Form</w:t>
      </w:r>
    </w:p>
    <w:p>
      <w:pPr>
        <w:pStyle w:val="Normal"/>
        <w:framePr w:w="4301" w:hAnchor="page" w:vAnchor="page" w:x="276" w:y="105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effect of such item is estimated accordingly.</w:t>
      </w:r>
    </w:p>
    <w:p>
      <w:pPr>
        <w:pStyle w:val="Normal"/>
        <w:framePr w:w="14008" w:hAnchor="page" w:vAnchor="page" w:x="276" w:y="1029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which the item has been recorded requires application of a specific tax rate, tax treatment or valuation allowance consideration, in which case the tax</w:t>
      </w:r>
    </w:p>
    <w:p>
      <w:pPr>
        <w:pStyle w:val="Normal"/>
        <w:framePr w:w="13888" w:hAnchor="page" w:vAnchor="page" w:x="276" w:y="100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performed item by item, applying the relevant jurisdictional tax rate to the pretax amount, unless the nature of the item and/or the tax jurisdiction in</w:t>
      </w:r>
    </w:p>
    <w:p>
      <w:pPr>
        <w:pStyle w:val="Normal"/>
        <w:framePr w:w="13695" w:hAnchor="page" w:vAnchor="page" w:x="276" w:y="983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Company acknowledges the Staff’s comment and respectfully advises the Staff that estimation of tax effect of each non-GAAP adjustment is</w:t>
      </w:r>
    </w:p>
    <w:p>
      <w:pPr>
        <w:pStyle w:val="Normal"/>
        <w:framePr w:w="1179" w:hAnchor="page" w:vAnchor="page" w:x="276" w:y="937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Response:</w:t>
      </w:r>
    </w:p>
    <w:p>
      <w:pPr>
        <w:pStyle w:val="Normal"/>
        <w:framePr w:w="2092" w:hAnchor="page" w:vAnchor="page" w:x="276" w:y="890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non-GAAP C&amp;DIs.</w:t>
      </w:r>
    </w:p>
    <w:p>
      <w:pPr>
        <w:pStyle w:val="Normal"/>
        <w:framePr w:w="14183" w:hAnchor="page" w:vAnchor="page" w:x="276" w:y="86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Form 8-K. Also revise your disclosures to explain how the tax effects of the non-GAAP adjustments are calculated. Refer to Question 102.11 of the</w:t>
      </w:r>
    </w:p>
    <w:p>
      <w:pPr>
        <w:pStyle w:val="Normal"/>
        <w:framePr w:w="14190" w:hAnchor="page" w:vAnchor="page" w:x="276" w:y="84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Form 8-K earnings release, or similarly, for impairment and other charges and loss from investment in Technip Energies in the February 23, 2023</w:t>
      </w:r>
    </w:p>
    <w:p>
      <w:pPr>
        <w:pStyle w:val="Normal"/>
        <w:framePr w:w="13910" w:hAnchor="page" w:vAnchor="page" w:x="276" w:y="82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to TechnipFMC plc. In your response, address why you have not included a tax adjustment for the non-recurring legal settlement charge in this</w:t>
      </w:r>
    </w:p>
    <w:p>
      <w:pPr>
        <w:pStyle w:val="Normal"/>
        <w:framePr w:w="14189" w:hAnchor="page" w:vAnchor="page" w:x="276" w:y="79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4. </w:t>
      </w: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Please explain how you determined the income tax effects on your measure of non-GAAP Income (loss) from continuing operations attributable</w:t>
      </w:r>
    </w:p>
    <w:p>
      <w:pPr>
        <w:pStyle w:val="Normal"/>
        <w:framePr w:w="3445" w:hAnchor="page" w:vAnchor="page" w:x="276" w:y="75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the non-GAAP financial measures.</w:t>
      </w:r>
    </w:p>
    <w:p>
      <w:pPr>
        <w:pStyle w:val="Normal"/>
        <w:framePr w:w="14273" w:hAnchor="page" w:vAnchor="page" w:x="276" w:y="72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financial performance prepared in accordance with GAAP. The following is a reconciliation of the most comparable financial measures under GAAP to</w:t>
      </w:r>
    </w:p>
    <w:p>
      <w:pPr>
        <w:pStyle w:val="Normal"/>
        <w:framePr w:w="14120" w:hAnchor="page" w:vAnchor="page" w:x="276" w:y="70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The foregoing non-GAAP financial measures should be considered by investors in addition to, not as a substitute for or superior to, other measures of</w:t>
      </w:r>
    </w:p>
    <w:p>
      <w:pPr>
        <w:pStyle w:val="Normal"/>
        <w:framePr w:w="14270" w:hAnchor="page" w:vAnchor="page" w:x="276" w:y="682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operations period-over-period. These measures are also used by management as performance measures in determining certain incentive compensation.</w:t>
      </w:r>
    </w:p>
    <w:p>
      <w:pPr>
        <w:pStyle w:val="Normal"/>
        <w:framePr w:w="13520" w:hAnchor="page" w:vAnchor="page" w:x="276" w:y="65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the Company’s underlying business results and operating trends, and a means to evaluate TechnipFMC’s operations and consolidated results of</w:t>
      </w:r>
    </w:p>
    <w:p>
      <w:pPr>
        <w:pStyle w:val="Normal"/>
        <w:framePr w:w="14370" w:hAnchor="page" w:vAnchor="page" w:x="276" w:y="63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Management believes that the exclusion of charges, credits and foreign exchange impacts from these financial measures provides a useful perspective on</w:t>
      </w:r>
    </w:p>
    <w:p>
      <w:pPr>
        <w:pStyle w:val="Normal"/>
        <w:framePr w:w="2314" w:hAnchor="page" w:vAnchor="page" w:x="276" w:y="578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estimated accordingly.</w:t>
      </w:r>
    </w:p>
    <w:p>
      <w:pPr>
        <w:pStyle w:val="Normal"/>
        <w:framePr w:w="13788" w:hAnchor="page" w:vAnchor="page" w:x="276" w:y="55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recorded requires application of a specific tax rate, tax treatment or valuation allowance consideration, in which case the tax effect of such item is</w:t>
      </w:r>
    </w:p>
    <w:p>
      <w:pPr>
        <w:pStyle w:val="Normal"/>
        <w:framePr w:w="13774" w:hAnchor="page" w:vAnchor="page" w:x="276" w:y="532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applying the relevant jurisdiction tax rate to the pretax amount, unless the nature of the item and/or the tax jurisdiction in which the item has been</w:t>
      </w:r>
    </w:p>
    <w:p>
      <w:pPr>
        <w:pStyle w:val="Normal"/>
        <w:framePr w:w="14112" w:hAnchor="page" w:vAnchor="page" w:x="276" w:y="50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Non-GAAP adjustments are presented on a gross basis and are not net of tax. Estimates of the tax effect of each adjustment is calculated item by item,</w:t>
      </w:r>
    </w:p>
    <w:p>
      <w:pPr>
        <w:pStyle w:val="Normal"/>
        <w:framePr w:w="13648" w:hAnchor="page" w:vAnchor="page" w:x="276" w:y="451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excluding charges and credits; Foreign exchange, net and other, excluding charges and credits; and net debt) are non-GAAP financial measures.</w:t>
      </w:r>
    </w:p>
    <w:p>
      <w:pPr>
        <w:pStyle w:val="Normal"/>
        <w:framePr w:w="13694" w:hAnchor="page" w:vAnchor="page" w:x="276" w:y="42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foreign exchange gains or losses, net; Adjusted EBITDA margin; Adjusted EBITDA margin, excluding foreign exchange, net; Corporate expense,</w:t>
      </w:r>
    </w:p>
    <w:p>
      <w:pPr>
        <w:pStyle w:val="Normal"/>
        <w:framePr w:w="14176" w:hAnchor="page" w:vAnchor="page" w:x="276" w:y="404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interest expense, income taxes, depreciation and amortization, excluding charges and credits (“Adjusted EBITDA”); and Adjusted EBITDA, excluding</w:t>
      </w:r>
    </w:p>
    <w:p>
      <w:pPr>
        <w:pStyle w:val="Normal"/>
        <w:framePr w:w="14273" w:hAnchor="page" w:vAnchor="page" w:x="276" w:y="381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taxes, excluding charges and credits (“Adjusted Operating profit”); Depreciation and amortization, excluding charges and credits; Earnings before net</w:t>
      </w:r>
    </w:p>
    <w:p>
      <w:pPr>
        <w:pStyle w:val="Normal"/>
        <w:framePr w:w="14244" w:hAnchor="page" w:vAnchor="page" w:x="276" w:y="358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charges and credits, as well as measures derived from it (including Diluted EPS, excluding charges and credits; Income before net interest expense and</w:t>
      </w:r>
    </w:p>
    <w:p>
      <w:pPr>
        <w:pStyle w:val="Normal"/>
        <w:framePr w:w="14011" w:hAnchor="page" w:vAnchor="page" w:x="276" w:y="335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describes performance on a year-over-year or sequential basis. Income (loss) from continuing operations attributable to TechnipFMC plc, excluding</w:t>
      </w:r>
    </w:p>
    <w:p>
      <w:pPr>
        <w:pStyle w:val="Normal"/>
        <w:framePr w:w="14226" w:hAnchor="page" w:vAnchor="page" w:x="276" w:y="312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Release also includes non-GAAP financial measures (as defined in Item 10 of Regulation S-K of the Securities Exchange Act of 1934, as amended) and</w:t>
      </w:r>
    </w:p>
    <w:p>
      <w:pPr>
        <w:pStyle w:val="Normal"/>
        <w:framePr w:w="14172" w:hAnchor="page" w:vAnchor="page" w:x="276" w:y="28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In addition to financial results determined in accordance with U.S. generally accepted accounting principles (GAAP), the third quarter 2023 Earnings</w:t>
      </w:r>
    </w:p>
    <w:p>
      <w:pPr>
        <w:pStyle w:val="Normal"/>
        <w:framePr w:w="5182" w:hAnchor="page" w:vAnchor="page" w:x="276" w:y="23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earnings releases and other investor communications:</w:t>
      </w:r>
    </w:p>
    <w:p>
      <w:pPr>
        <w:pStyle w:val="Normal"/>
        <w:framePr w:w="14338" w:hAnchor="page" w:vAnchor="page" w:x="276" w:y="208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months ended September 30, 2023. The revised language is also set forth below 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(in italics and underlined)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and will be included in the Company’s future</w:t>
      </w:r>
    </w:p>
    <w:p>
      <w:pPr>
        <w:pStyle w:val="Normal"/>
        <w:framePr w:w="13773" w:hAnchor="page" w:vAnchor="page" w:x="276" w:y="18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Company acknowledges the Staff’s comment and has removed the reference to “masked or misleading” from its earnings release for the three</w:t>
      </w:r>
    </w:p>
    <w:p>
      <w:pPr>
        <w:pStyle w:val="Normal"/>
        <w:framePr w:w="1179" w:hAnchor="page" w:vAnchor="page" w:x="276" w:y="13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Response:</w:t>
      </w:r>
    </w:p>
    <w:p>
      <w:pPr>
        <w:pStyle w:val="Normal"/>
        <w:framePr w:w="877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Page 4</w:t>
      </w:r>
    </w:p>
    <w:p>
      <w:pPr>
        <w:pStyle w:val="Normal"/>
        <w:framePr w:w="2008" w:hAnchor="page" w:vAnchor="page" w:x="27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November 6, 2023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7pt;margin-top:1pt;z-index:-16777076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12.8pt;margin-top:1pt;z-index:-1677707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2.8pt;margin-top:2.45pt;z-index:-1677706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597.95pt;margin-top:1pt;z-index:-1677706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2.8pt;margin-top:1pt;z-index:-16777060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13.8pt;margin-top:46.1pt;z-index:-16777056;width:146.1pt;height:16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2.8pt;margin-top:77.65pt;z-index:-16777052;width:3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2.8pt;margin-top:262.85pt;z-index:-16777048;width:4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56.7pt;margin-top:262.85pt;z-index:-16777044;width:536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12.8pt;margin-top:274.4pt;z-index:-16777040;width:56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2.8pt;margin-top:286pt;z-index:-16777036;width:56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2.8pt;margin-top:297.55pt;z-index:-16777032;width:88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2.8pt;margin-top:326.5pt;z-index:-16777028;width:591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12.8pt;margin-top:338.05pt;z-index:-16777024;width:555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2.8pt;margin-top:349.65pt;z-index:-16777020;width:12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12.8pt;margin-top:476.95pt;z-index:-16777016;width:3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</w:p>
    <w:p>
      <w:pPr>
        <w:pStyle w:val="Normal"/>
        <w:framePr w:w="344" w:hAnchor="page" w:vAnchor="page" w:x="6130" w:y="145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5</w:t>
      </w:r>
    </w:p>
    <w:p>
      <w:pPr>
        <w:pStyle w:val="Normal"/>
        <w:framePr w:w="7486" w:hAnchor="page" w:vAnchor="page" w:x="748" w:y="141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Cristina Aalders, Executive Vice President, Chief Legal Officer, and Secretary</w:t>
      </w:r>
    </w:p>
    <w:p>
      <w:pPr>
        <w:pStyle w:val="Normal"/>
        <w:framePr w:w="8119" w:hAnchor="page" w:vAnchor="page" w:x="748" w:y="139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Krisztina Doroghazi, Senior Vice President, Controller and Chief Accounting Officer</w:t>
      </w:r>
    </w:p>
    <w:p>
      <w:pPr>
        <w:pStyle w:val="Normal"/>
        <w:framePr w:w="6747" w:hAnchor="page" w:vAnchor="page" w:x="276" w:y="137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Cc:    Alf Melin, Executive Vice President and Chief Financial Officer</w:t>
      </w:r>
    </w:p>
    <w:p>
      <w:pPr>
        <w:pStyle w:val="Normal"/>
        <w:framePr w:w="3223" w:hAnchor="page" w:vAnchor="page" w:x="7364" w:y="130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of LATHAM &amp; WATKINS LLP</w:t>
      </w:r>
    </w:p>
    <w:p>
      <w:pPr>
        <w:pStyle w:val="Normal"/>
        <w:framePr w:w="1938" w:hAnchor="page" w:vAnchor="page" w:x="7364" w:y="1285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Julia A Thompson</w:t>
      </w:r>
    </w:p>
    <w:p>
      <w:pPr>
        <w:pStyle w:val="Normal"/>
        <w:framePr w:w="2214" w:hAnchor="page" w:vAnchor="page" w:x="7364" w:y="1259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/s/ Julia A Thompson</w:t>
      </w:r>
    </w:p>
    <w:p>
      <w:pPr>
        <w:pStyle w:val="Normal"/>
        <w:framePr w:w="1145" w:hAnchor="page" w:vAnchor="page" w:x="7364" w:y="1213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Sincerely,</w:t>
      </w:r>
    </w:p>
    <w:p>
      <w:pPr>
        <w:pStyle w:val="Normal"/>
        <w:framePr w:w="4681" w:hAnchor="page" w:vAnchor="page" w:x="276" w:y="1164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to telephone the undersigned at (202) 637-1073.</w:t>
      </w:r>
    </w:p>
    <w:p>
      <w:pPr>
        <w:pStyle w:val="Normal"/>
        <w:framePr w:w="14199" w:hAnchor="page" w:vAnchor="page" w:x="276" w:y="1141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We appreciate the Staff’s time and attention to this matter. If you have any questions or comments or require further information, please do not hesitate</w:t>
      </w:r>
    </w:p>
    <w:p>
      <w:pPr>
        <w:pStyle w:val="Normal"/>
        <w:framePr w:w="2137" w:hAnchor="page" w:vAnchor="page" w:x="5382" w:y="1094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*        *        *         *</w:t>
      </w:r>
    </w:p>
    <w:p>
      <w:pPr>
        <w:pStyle w:val="Normal"/>
        <w:framePr w:w="21" w:hAnchor="page" w:vAnchor="page" w:x="5368" w:y="10703"/>
        <w:widowControl w:val="off"/>
        <w:autoSpaceDE w:val="off"/>
        <w:autoSpaceDN w:val="off"/>
        <w:spacing w:before="0" w:after="0" w:line="16" w:lineRule="at-leas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  <w:t xml:space="preserve">  </w:t>
      </w:r>
    </w:p>
    <w:p>
      <w:pPr>
        <w:pStyle w:val="Normal"/>
        <w:framePr w:w="21" w:hAnchor="page" w:vAnchor="page" w:x="6684" w:y="10703"/>
        <w:widowControl w:val="off"/>
        <w:autoSpaceDE w:val="off"/>
        <w:autoSpaceDN w:val="off"/>
        <w:spacing w:before="0" w:after="0" w:line="16" w:lineRule="at-leas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  <w:t xml:space="preserve">  </w:t>
      </w:r>
    </w:p>
    <w:p>
      <w:pPr>
        <w:pStyle w:val="Normal"/>
        <w:framePr w:w="21" w:hAnchor="page" w:vAnchor="page" w:x="10706" w:y="10703"/>
        <w:widowControl w:val="off"/>
        <w:autoSpaceDE w:val="off"/>
        <w:autoSpaceDN w:val="off"/>
        <w:spacing w:before="0" w:after="0" w:line="16" w:lineRule="at-leas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  <w:t xml:space="preserve">  </w:t>
      </w:r>
    </w:p>
    <w:p>
      <w:pPr>
        <w:pStyle w:val="Normal"/>
        <w:framePr w:w="3757" w:hAnchor="page" w:vAnchor="page" w:x="276" w:y="1042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Adjusted earnings per share - diluted</w:t>
      </w:r>
    </w:p>
    <w:p>
      <w:pPr>
        <w:pStyle w:val="Normal"/>
        <w:framePr w:w="21" w:hAnchor="page" w:vAnchor="page" w:x="5368" w:y="10414"/>
        <w:widowControl w:val="off"/>
        <w:autoSpaceDE w:val="off"/>
        <w:autoSpaceDN w:val="off"/>
        <w:spacing w:before="0" w:after="0" w:line="16" w:lineRule="at-leas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  <w:t xml:space="preserve">  </w:t>
      </w:r>
    </w:p>
    <w:p>
      <w:pPr>
        <w:pStyle w:val="Normal"/>
        <w:framePr w:w="633" w:hAnchor="page" w:vAnchor="page" w:x="6289" w:y="1042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0.21</w:t>
      </w:r>
    </w:p>
    <w:p>
      <w:pPr>
        <w:pStyle w:val="Normal"/>
        <w:framePr w:w="21" w:hAnchor="page" w:vAnchor="page" w:x="6684" w:y="10414"/>
        <w:widowControl w:val="off"/>
        <w:autoSpaceDE w:val="off"/>
        <w:autoSpaceDN w:val="off"/>
        <w:spacing w:before="0" w:after="0" w:line="16" w:lineRule="at-leas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  <w:t xml:space="preserve">  </w:t>
      </w:r>
    </w:p>
    <w:p>
      <w:pPr>
        <w:pStyle w:val="Normal"/>
        <w:framePr w:w="633" w:hAnchor="page" w:vAnchor="page" w:x="7591" w:y="1042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0.10</w:t>
      </w:r>
    </w:p>
    <w:p>
      <w:pPr>
        <w:pStyle w:val="Normal"/>
        <w:framePr w:w="633" w:hAnchor="page" w:vAnchor="page" w:x="8951" w:y="1042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0.03</w:t>
      </w:r>
    </w:p>
    <w:p>
      <w:pPr>
        <w:pStyle w:val="Normal"/>
        <w:framePr w:w="633" w:hAnchor="page" w:vAnchor="page" w:x="10311" w:y="1042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0.31</w:t>
      </w:r>
    </w:p>
    <w:p>
      <w:pPr>
        <w:pStyle w:val="Normal"/>
        <w:framePr w:w="21" w:hAnchor="page" w:vAnchor="page" w:x="10706" w:y="10414"/>
        <w:widowControl w:val="off"/>
        <w:autoSpaceDE w:val="off"/>
        <w:autoSpaceDN w:val="off"/>
        <w:spacing w:before="0" w:after="0" w:line="16" w:lineRule="at-leas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  <w:t xml:space="preserve">  </w:t>
      </w:r>
    </w:p>
    <w:p>
      <w:pPr>
        <w:pStyle w:val="Normal"/>
        <w:framePr w:w="633" w:hAnchor="page" w:vAnchor="page" w:x="11627" w:y="1042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0.02</w:t>
      </w:r>
    </w:p>
    <w:p>
      <w:pPr>
        <w:pStyle w:val="Normal"/>
        <w:framePr w:w="4354" w:hAnchor="page" w:vAnchor="page" w:x="276" w:y="1016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Reported earnings (loss) per share - diluted</w:t>
      </w:r>
    </w:p>
    <w:p>
      <w:pPr>
        <w:pStyle w:val="Normal"/>
        <w:framePr w:w="344" w:hAnchor="page" w:vAnchor="page" w:x="5368" w:y="1016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18" w:hAnchor="page" w:vAnchor="page" w:x="6289" w:y="1016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0.20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45" w:hAnchor="page" w:vAnchor="page" w:x="7527" w:y="1016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(0.20) </w:t>
      </w:r>
    </w:p>
    <w:p>
      <w:pPr>
        <w:pStyle w:val="Normal"/>
        <w:framePr w:w="691" w:hAnchor="page" w:vAnchor="page" w:x="8951" w:y="1016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0.01 </w:t>
      </w:r>
    </w:p>
    <w:p>
      <w:pPr>
        <w:pStyle w:val="Normal"/>
        <w:framePr w:w="818" w:hAnchor="page" w:vAnchor="page" w:x="10311" w:y="1016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0.01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45" w:hAnchor="page" w:vAnchor="page" w:x="11563" w:y="1016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(0.08) </w:t>
      </w:r>
    </w:p>
    <w:p>
      <w:pPr>
        <w:pStyle w:val="Normal"/>
        <w:framePr w:w="4388" w:hAnchor="page" w:vAnchor="page" w:x="276" w:y="993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Weighted diluted average shares outstanding</w:t>
      </w:r>
    </w:p>
    <w:p>
      <w:pPr>
        <w:pStyle w:val="Normal"/>
        <w:framePr w:w="21" w:hAnchor="page" w:vAnchor="page" w:x="5368" w:y="9922"/>
        <w:widowControl w:val="off"/>
        <w:autoSpaceDE w:val="off"/>
        <w:autoSpaceDN w:val="off"/>
        <w:spacing w:before="0" w:after="0" w:line="16" w:lineRule="at-leas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  <w:t xml:space="preserve">  </w:t>
      </w:r>
    </w:p>
    <w:p>
      <w:pPr>
        <w:pStyle w:val="Normal"/>
        <w:framePr w:w="749" w:hAnchor="page" w:vAnchor="page" w:x="6193" w:y="993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450.3</w:t>
      </w:r>
    </w:p>
    <w:p>
      <w:pPr>
        <w:pStyle w:val="Normal"/>
        <w:framePr w:w="21" w:hAnchor="page" w:vAnchor="page" w:x="6684" w:y="9922"/>
        <w:widowControl w:val="off"/>
        <w:autoSpaceDE w:val="off"/>
        <w:autoSpaceDN w:val="off"/>
        <w:spacing w:before="0" w:after="0" w:line="16" w:lineRule="at-leas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  <w:t xml:space="preserve">  </w:t>
      </w:r>
    </w:p>
    <w:p>
      <w:pPr>
        <w:pStyle w:val="Normal"/>
        <w:framePr w:w="749" w:hAnchor="page" w:vAnchor="page" w:x="7494" w:y="993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440.1</w:t>
      </w:r>
    </w:p>
    <w:p>
      <w:pPr>
        <w:pStyle w:val="Normal"/>
        <w:framePr w:w="749" w:hAnchor="page" w:vAnchor="page" w:x="8854" w:y="993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458.1</w:t>
      </w:r>
    </w:p>
    <w:p>
      <w:pPr>
        <w:pStyle w:val="Normal"/>
        <w:framePr w:w="749" w:hAnchor="page" w:vAnchor="page" w:x="10214" w:y="993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452.9</w:t>
      </w:r>
    </w:p>
    <w:p>
      <w:pPr>
        <w:pStyle w:val="Normal"/>
        <w:framePr w:w="21" w:hAnchor="page" w:vAnchor="page" w:x="10706" w:y="9922"/>
        <w:widowControl w:val="off"/>
        <w:autoSpaceDE w:val="off"/>
        <w:autoSpaceDN w:val="off"/>
        <w:spacing w:before="0" w:after="0" w:line="16" w:lineRule="at-leas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  <w:t xml:space="preserve">  </w:t>
      </w:r>
    </w:p>
    <w:p>
      <w:pPr>
        <w:pStyle w:val="Normal"/>
        <w:framePr w:w="749" w:hAnchor="page" w:vAnchor="page" w:x="11531" w:y="993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451.1</w:t>
      </w:r>
    </w:p>
    <w:p>
      <w:pPr>
        <w:pStyle w:val="Normal"/>
        <w:framePr w:w="5171" w:hAnchor="page" w:vAnchor="page" w:x="276" w:y="96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Adjusted EBITDA, excluding foreign exchange, net</w:t>
      </w:r>
    </w:p>
    <w:p>
      <w:pPr>
        <w:pStyle w:val="Normal"/>
        <w:framePr w:w="21" w:hAnchor="page" w:vAnchor="page" w:x="5368" w:y="9633"/>
        <w:widowControl w:val="off"/>
        <w:autoSpaceDE w:val="off"/>
        <w:autoSpaceDN w:val="off"/>
        <w:spacing w:before="0" w:after="0" w:line="16" w:lineRule="at-leas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  <w:t xml:space="preserve">  </w:t>
      </w:r>
    </w:p>
    <w:p>
      <w:pPr>
        <w:pStyle w:val="Normal"/>
        <w:framePr w:w="344" w:hAnchor="page" w:vAnchor="page" w:x="5715" w:y="96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$</w:t>
      </w:r>
    </w:p>
    <w:p>
      <w:pPr>
        <w:pStyle w:val="Normal"/>
        <w:framePr w:w="749" w:hAnchor="page" w:vAnchor="page" w:x="6193" w:y="96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283.9</w:t>
      </w:r>
    </w:p>
    <w:p>
      <w:pPr>
        <w:pStyle w:val="Normal"/>
        <w:framePr w:w="21" w:hAnchor="page" w:vAnchor="page" w:x="6684" w:y="9633"/>
        <w:widowControl w:val="off"/>
        <w:autoSpaceDE w:val="off"/>
        <w:autoSpaceDN w:val="off"/>
        <w:spacing w:before="0" w:after="0" w:line="16" w:lineRule="at-leas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  <w:t xml:space="preserve">  </w:t>
      </w:r>
    </w:p>
    <w:p>
      <w:pPr>
        <w:pStyle w:val="Normal"/>
        <w:framePr w:w="344" w:hAnchor="page" w:vAnchor="page" w:x="7031" w:y="96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$</w:t>
      </w:r>
    </w:p>
    <w:p>
      <w:pPr>
        <w:pStyle w:val="Normal"/>
        <w:framePr w:w="749" w:hAnchor="page" w:vAnchor="page" w:x="7494" w:y="96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254.2</w:t>
      </w:r>
    </w:p>
    <w:p>
      <w:pPr>
        <w:pStyle w:val="Normal"/>
        <w:framePr w:w="344" w:hAnchor="page" w:vAnchor="page" w:x="8377" w:y="96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$</w:t>
      </w:r>
    </w:p>
    <w:p>
      <w:pPr>
        <w:pStyle w:val="Normal"/>
        <w:framePr w:w="749" w:hAnchor="page" w:vAnchor="page" w:x="8854" w:y="96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200.1</w:t>
      </w:r>
    </w:p>
    <w:p>
      <w:pPr>
        <w:pStyle w:val="Normal"/>
        <w:framePr w:w="344" w:hAnchor="page" w:vAnchor="page" w:x="9737" w:y="96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$</w:t>
      </w:r>
    </w:p>
    <w:p>
      <w:pPr>
        <w:pStyle w:val="Normal"/>
        <w:framePr w:w="749" w:hAnchor="page" w:vAnchor="page" w:x="10214" w:y="96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693.5</w:t>
      </w:r>
    </w:p>
    <w:p>
      <w:pPr>
        <w:pStyle w:val="Normal"/>
        <w:framePr w:w="21" w:hAnchor="page" w:vAnchor="page" w:x="10706" w:y="9633"/>
        <w:widowControl w:val="off"/>
        <w:autoSpaceDE w:val="off"/>
        <w:autoSpaceDN w:val="off"/>
        <w:spacing w:before="0" w:after="0" w:line="16" w:lineRule="at-leas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  <w:t xml:space="preserve">  </w:t>
      </w:r>
    </w:p>
    <w:p>
      <w:pPr>
        <w:pStyle w:val="Normal"/>
        <w:framePr w:w="344" w:hAnchor="page" w:vAnchor="page" w:x="11053" w:y="96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$</w:t>
      </w:r>
    </w:p>
    <w:p>
      <w:pPr>
        <w:pStyle w:val="Normal"/>
        <w:framePr w:w="749" w:hAnchor="page" w:vAnchor="page" w:x="11531" w:y="96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512.5</w:t>
      </w:r>
    </w:p>
    <w:p>
      <w:pPr>
        <w:pStyle w:val="Normal"/>
        <w:framePr w:w="2294" w:hAnchor="page" w:vAnchor="page" w:x="662" w:y="93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Foreign exchange, net</w:t>
      </w:r>
    </w:p>
    <w:p>
      <w:pPr>
        <w:pStyle w:val="Normal"/>
        <w:framePr w:w="344" w:hAnchor="page" w:vAnchor="page" w:x="5368" w:y="93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18" w:hAnchor="page" w:vAnchor="page" w:x="6289" w:y="93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46.4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91" w:hAnchor="page" w:vAnchor="page" w:x="7591" w:y="93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48.3 </w:t>
      </w:r>
    </w:p>
    <w:p>
      <w:pPr>
        <w:pStyle w:val="Normal"/>
        <w:framePr w:w="691" w:hAnchor="page" w:vAnchor="page" w:x="8951" w:y="93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14.5 </w:t>
      </w:r>
    </w:p>
    <w:p>
      <w:pPr>
        <w:pStyle w:val="Normal"/>
        <w:framePr w:w="818" w:hAnchor="page" w:vAnchor="page" w:x="10311" w:y="93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92.6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45" w:hAnchor="page" w:vAnchor="page" w:x="11563" w:y="93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(13.1) </w:t>
      </w:r>
    </w:p>
    <w:p>
      <w:pPr>
        <w:pStyle w:val="Normal"/>
        <w:framePr w:w="1983" w:hAnchor="page" w:vAnchor="page" w:x="276" w:y="915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Adjusted EBITDA</w:t>
      </w:r>
    </w:p>
    <w:p>
      <w:pPr>
        <w:pStyle w:val="Normal"/>
        <w:framePr w:w="344" w:hAnchor="page" w:vAnchor="page" w:x="5368" w:y="915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34" w:hAnchor="page" w:vAnchor="page" w:x="6193" w:y="915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237.5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06" w:hAnchor="page" w:vAnchor="page" w:x="7494" w:y="915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205.9 </w:t>
      </w:r>
    </w:p>
    <w:p>
      <w:pPr>
        <w:pStyle w:val="Normal"/>
        <w:framePr w:w="806" w:hAnchor="page" w:vAnchor="page" w:x="8854" w:y="915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185.6 </w:t>
      </w:r>
    </w:p>
    <w:p>
      <w:pPr>
        <w:pStyle w:val="Normal"/>
        <w:framePr w:w="934" w:hAnchor="page" w:vAnchor="page" w:x="10214" w:y="915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600.9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06" w:hAnchor="page" w:vAnchor="page" w:x="11531" w:y="915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525.6 </w:t>
      </w:r>
    </w:p>
    <w:p>
      <w:pPr>
        <w:pStyle w:val="Normal"/>
        <w:framePr w:w="3086" w:hAnchor="page" w:vAnchor="page" w:x="276" w:y="89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Depreciation and amortization</w:t>
      </w:r>
    </w:p>
    <w:p>
      <w:pPr>
        <w:pStyle w:val="Normal"/>
        <w:framePr w:w="344" w:hAnchor="page" w:vAnchor="page" w:x="5368" w:y="89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18" w:hAnchor="page" w:vAnchor="page" w:x="6289" w:y="89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93.3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91" w:hAnchor="page" w:vAnchor="page" w:x="7591" w:y="89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97.0 </w:t>
      </w:r>
    </w:p>
    <w:p>
      <w:pPr>
        <w:pStyle w:val="Normal"/>
        <w:framePr w:w="691" w:hAnchor="page" w:vAnchor="page" w:x="8951" w:y="89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94.5 </w:t>
      </w:r>
    </w:p>
    <w:p>
      <w:pPr>
        <w:pStyle w:val="Normal"/>
        <w:framePr w:w="934" w:hAnchor="page" w:vAnchor="page" w:x="10214" w:y="89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283.3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06" w:hAnchor="page" w:vAnchor="page" w:x="11531" w:y="89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284.4 </w:t>
      </w:r>
    </w:p>
    <w:p>
      <w:pPr>
        <w:pStyle w:val="Normal"/>
        <w:framePr w:w="2670" w:hAnchor="page" w:vAnchor="page" w:x="276" w:y="86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Adjusted Operating profit</w:t>
      </w:r>
    </w:p>
    <w:p>
      <w:pPr>
        <w:pStyle w:val="Normal"/>
        <w:framePr w:w="344" w:hAnchor="page" w:vAnchor="page" w:x="5368" w:y="86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34" w:hAnchor="page" w:vAnchor="page" w:x="6193" w:y="86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144.2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06" w:hAnchor="page" w:vAnchor="page" w:x="7494" w:y="86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108.9 </w:t>
      </w:r>
    </w:p>
    <w:p>
      <w:pPr>
        <w:pStyle w:val="Normal"/>
        <w:framePr w:w="691" w:hAnchor="page" w:vAnchor="page" w:x="8951" w:y="86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91.1 </w:t>
      </w:r>
    </w:p>
    <w:p>
      <w:pPr>
        <w:pStyle w:val="Normal"/>
        <w:framePr w:w="934" w:hAnchor="page" w:vAnchor="page" w:x="10214" w:y="86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317.6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06" w:hAnchor="page" w:vAnchor="page" w:x="11531" w:y="86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241.2 </w:t>
      </w:r>
    </w:p>
    <w:p>
      <w:pPr>
        <w:pStyle w:val="Normal"/>
        <w:framePr w:w="2083" w:hAnchor="page" w:vAnchor="page" w:x="662" w:y="84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Net interest expense</w:t>
      </w:r>
    </w:p>
    <w:p>
      <w:pPr>
        <w:pStyle w:val="Normal"/>
        <w:framePr w:w="344" w:hAnchor="page" w:vAnchor="page" w:x="5368" w:y="84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18" w:hAnchor="page" w:vAnchor="page" w:x="6289" w:y="84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26.7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91" w:hAnchor="page" w:vAnchor="page" w:x="7591" w:y="84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30.3 </w:t>
      </w:r>
    </w:p>
    <w:p>
      <w:pPr>
        <w:pStyle w:val="Normal"/>
        <w:framePr w:w="691" w:hAnchor="page" w:vAnchor="page" w:x="8951" w:y="84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30.9 </w:t>
      </w:r>
    </w:p>
    <w:p>
      <w:pPr>
        <w:pStyle w:val="Normal"/>
        <w:framePr w:w="818" w:hAnchor="page" w:vAnchor="page" w:x="10311" w:y="84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75.7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06" w:hAnchor="page" w:vAnchor="page" w:x="11531" w:y="84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122.3 </w:t>
      </w:r>
    </w:p>
    <w:p>
      <w:pPr>
        <w:pStyle w:val="Normal"/>
        <w:framePr w:w="2513" w:hAnchor="page" w:vAnchor="page" w:x="662" w:y="8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Provision for income tax</w:t>
      </w:r>
    </w:p>
    <w:p>
      <w:pPr>
        <w:pStyle w:val="Normal"/>
        <w:framePr w:w="344" w:hAnchor="page" w:vAnchor="page" w:x="5368" w:y="8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18" w:hAnchor="page" w:vAnchor="page" w:x="6289" w:y="8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19.5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91" w:hAnchor="page" w:vAnchor="page" w:x="7591" w:y="8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43.3 </w:t>
      </w:r>
    </w:p>
    <w:p>
      <w:pPr>
        <w:pStyle w:val="Normal"/>
        <w:framePr w:w="691" w:hAnchor="page" w:vAnchor="page" w:x="8951" w:y="8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42.7 </w:t>
      </w:r>
    </w:p>
    <w:p>
      <w:pPr>
        <w:pStyle w:val="Normal"/>
        <w:framePr w:w="934" w:hAnchor="page" w:vAnchor="page" w:x="10214" w:y="8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100.2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91" w:hAnchor="page" w:vAnchor="page" w:x="11627" w:y="8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91.0 </w:t>
      </w:r>
    </w:p>
    <w:p>
      <w:pPr>
        <w:pStyle w:val="Normal"/>
        <w:framePr w:w="5204" w:hAnchor="page" w:vAnchor="page" w:x="276" w:y="799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Income (loss) attributable to non-controlling interests</w:t>
      </w:r>
    </w:p>
    <w:p>
      <w:pPr>
        <w:pStyle w:val="Normal"/>
        <w:framePr w:w="21" w:hAnchor="page" w:vAnchor="page" w:x="5368" w:y="7983"/>
        <w:widowControl w:val="off"/>
        <w:autoSpaceDE w:val="off"/>
        <w:autoSpaceDN w:val="off"/>
        <w:spacing w:before="0" w:after="0" w:line="16" w:lineRule="at-leas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  <w:t xml:space="preserve">  </w:t>
      </w:r>
    </w:p>
    <w:p>
      <w:pPr>
        <w:pStyle w:val="Normal"/>
        <w:framePr w:w="517" w:hAnchor="page" w:vAnchor="page" w:x="6385" w:y="799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3.7</w:t>
      </w:r>
    </w:p>
    <w:p>
      <w:pPr>
        <w:pStyle w:val="Normal"/>
        <w:framePr w:w="21" w:hAnchor="page" w:vAnchor="page" w:x="6684" w:y="7983"/>
        <w:widowControl w:val="off"/>
        <w:autoSpaceDE w:val="off"/>
        <w:autoSpaceDN w:val="off"/>
        <w:spacing w:before="0" w:after="0" w:line="16" w:lineRule="at-leas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  <w:t xml:space="preserve">  </w:t>
      </w:r>
    </w:p>
    <w:p>
      <w:pPr>
        <w:pStyle w:val="Normal"/>
        <w:framePr w:w="671" w:hAnchor="page" w:vAnchor="page" w:x="7623" w:y="799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(9.1)</w:t>
      </w:r>
    </w:p>
    <w:p>
      <w:pPr>
        <w:pStyle w:val="Normal"/>
        <w:framePr w:w="517" w:hAnchor="page" w:vAnchor="page" w:x="9047" w:y="799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5.7</w:t>
      </w:r>
    </w:p>
    <w:p>
      <w:pPr>
        <w:pStyle w:val="Normal"/>
        <w:framePr w:w="517" w:hAnchor="page" w:vAnchor="page" w:x="10407" w:y="799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2.0</w:t>
      </w:r>
    </w:p>
    <w:p>
      <w:pPr>
        <w:pStyle w:val="Normal"/>
        <w:framePr w:w="21" w:hAnchor="page" w:vAnchor="page" w:x="10706" w:y="7983"/>
        <w:widowControl w:val="off"/>
        <w:autoSpaceDE w:val="off"/>
        <w:autoSpaceDN w:val="off"/>
        <w:spacing w:before="0" w:after="0" w:line="16" w:lineRule="at-leas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  <w:t xml:space="preserve">  </w:t>
      </w:r>
    </w:p>
    <w:p>
      <w:pPr>
        <w:pStyle w:val="Normal"/>
        <w:framePr w:w="633" w:hAnchor="page" w:vAnchor="page" w:x="11627" w:y="799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19.4</w:t>
      </w:r>
    </w:p>
    <w:p>
      <w:pPr>
        <w:pStyle w:val="Normal"/>
        <w:framePr w:w="5818" w:hAnchor="page" w:vAnchor="page" w:x="276" w:y="77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Adjusted net income (loss) attributable to TechnipFMC plc</w:t>
      </w:r>
    </w:p>
    <w:p>
      <w:pPr>
        <w:pStyle w:val="Normal"/>
        <w:framePr w:w="21" w:hAnchor="page" w:vAnchor="page" w:x="5368" w:y="7723"/>
        <w:widowControl w:val="off"/>
        <w:autoSpaceDE w:val="off"/>
        <w:autoSpaceDN w:val="off"/>
        <w:spacing w:before="0" w:after="0" w:line="16" w:lineRule="at-leas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  <w:t xml:space="preserve">  </w:t>
      </w:r>
    </w:p>
    <w:p>
      <w:pPr>
        <w:pStyle w:val="Normal"/>
        <w:framePr w:w="633" w:hAnchor="page" w:vAnchor="page" w:x="6289" w:y="77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94.3</w:t>
      </w:r>
    </w:p>
    <w:p>
      <w:pPr>
        <w:pStyle w:val="Normal"/>
        <w:framePr w:w="21" w:hAnchor="page" w:vAnchor="page" w:x="6684" w:y="7723"/>
        <w:widowControl w:val="off"/>
        <w:autoSpaceDE w:val="off"/>
        <w:autoSpaceDN w:val="off"/>
        <w:spacing w:before="0" w:after="0" w:line="16" w:lineRule="at-leas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  <w:t xml:space="preserve">  </w:t>
      </w:r>
    </w:p>
    <w:p>
      <w:pPr>
        <w:pStyle w:val="Normal"/>
        <w:framePr w:w="633" w:hAnchor="page" w:vAnchor="page" w:x="7591" w:y="77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44.4</w:t>
      </w:r>
    </w:p>
    <w:p>
      <w:pPr>
        <w:pStyle w:val="Normal"/>
        <w:framePr w:w="633" w:hAnchor="page" w:vAnchor="page" w:x="8965" w:y="77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11.8</w:t>
      </w:r>
    </w:p>
    <w:p>
      <w:pPr>
        <w:pStyle w:val="Normal"/>
        <w:framePr w:w="749" w:hAnchor="page" w:vAnchor="page" w:x="10214" w:y="77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139.7</w:t>
      </w:r>
    </w:p>
    <w:p>
      <w:pPr>
        <w:pStyle w:val="Normal"/>
        <w:framePr w:w="21" w:hAnchor="page" w:vAnchor="page" w:x="10706" w:y="7723"/>
        <w:widowControl w:val="off"/>
        <w:autoSpaceDE w:val="off"/>
        <w:autoSpaceDN w:val="off"/>
        <w:spacing w:before="0" w:after="0" w:line="16" w:lineRule="at-leas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"/>
          <w:szCs w:val="1"/>
        </w:rPr>
        <w:t xml:space="preserve">  </w:t>
      </w:r>
    </w:p>
    <w:p>
      <w:pPr>
        <w:pStyle w:val="Normal"/>
        <w:framePr w:w="517" w:hAnchor="page" w:vAnchor="page" w:x="11723" w:y="77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8.5</w:t>
      </w:r>
    </w:p>
    <w:p>
      <w:pPr>
        <w:pStyle w:val="Normal"/>
        <w:framePr w:w="2863" w:hAnchor="page" w:vAnchor="page" w:x="662" w:y="747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Tax on charges and (credits)</w:t>
      </w:r>
    </w:p>
    <w:p>
      <w:pPr>
        <w:pStyle w:val="Normal"/>
        <w:framePr w:w="344" w:hAnchor="page" w:vAnchor="page" w:x="5368" w:y="747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02" w:hAnchor="page" w:vAnchor="page" w:x="6385" w:y="747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0.6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75" w:hAnchor="page" w:vAnchor="page" w:x="7687" w:y="747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0.4 </w:t>
      </w:r>
    </w:p>
    <w:p>
      <w:pPr>
        <w:pStyle w:val="Normal"/>
        <w:framePr w:w="729" w:hAnchor="page" w:vAnchor="page" w:x="8983" w:y="747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(0.9) </w:t>
      </w:r>
    </w:p>
    <w:p>
      <w:pPr>
        <w:pStyle w:val="Normal"/>
        <w:framePr w:w="702" w:hAnchor="page" w:vAnchor="page" w:x="10407" w:y="747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1.0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75" w:hAnchor="page" w:vAnchor="page" w:x="11723" w:y="747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0.4 </w:t>
      </w:r>
    </w:p>
    <w:p>
      <w:pPr>
        <w:pStyle w:val="Normal"/>
        <w:framePr w:w="4078" w:hAnchor="page" w:vAnchor="page" w:x="662" w:y="724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Loss from investment in Technip Energies</w:t>
      </w:r>
    </w:p>
    <w:p>
      <w:pPr>
        <w:pStyle w:val="Normal"/>
        <w:framePr w:w="344" w:hAnchor="page" w:vAnchor="page" w:x="5368" w:y="724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34" w:hAnchor="page" w:vAnchor="page" w:x="6359" w:y="724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—  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07" w:hAnchor="page" w:vAnchor="page" w:x="7661" w:y="724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—   </w:t>
      </w:r>
    </w:p>
    <w:p>
      <w:pPr>
        <w:pStyle w:val="Normal"/>
        <w:framePr w:w="607" w:hAnchor="page" w:vAnchor="page" w:x="9020" w:y="724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—   </w:t>
      </w:r>
    </w:p>
    <w:p>
      <w:pPr>
        <w:pStyle w:val="Normal"/>
        <w:framePr w:w="734" w:hAnchor="page" w:vAnchor="page" w:x="10380" w:y="724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—  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91" w:hAnchor="page" w:vAnchor="page" w:x="11627" w:y="724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27.7 </w:t>
      </w:r>
    </w:p>
    <w:p>
      <w:pPr>
        <w:pStyle w:val="Normal"/>
        <w:framePr w:w="3848" w:hAnchor="page" w:vAnchor="page" w:x="662" w:y="70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Non recurring legal settlement charges</w:t>
      </w:r>
    </w:p>
    <w:p>
      <w:pPr>
        <w:pStyle w:val="Normal"/>
        <w:framePr w:w="344" w:hAnchor="page" w:vAnchor="page" w:x="5368" w:y="70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34" w:hAnchor="page" w:vAnchor="page" w:x="6359" w:y="70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—  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06" w:hAnchor="page" w:vAnchor="page" w:x="7494" w:y="70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126.5 </w:t>
      </w:r>
    </w:p>
    <w:p>
      <w:pPr>
        <w:pStyle w:val="Normal"/>
        <w:framePr w:w="607" w:hAnchor="page" w:vAnchor="page" w:x="9020" w:y="70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—   </w:t>
      </w:r>
    </w:p>
    <w:p>
      <w:pPr>
        <w:pStyle w:val="Normal"/>
        <w:framePr w:w="934" w:hAnchor="page" w:vAnchor="page" w:x="10214" w:y="70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126.5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07" w:hAnchor="page" w:vAnchor="page" w:x="11697" w:y="70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—   </w:t>
      </w:r>
    </w:p>
    <w:p>
      <w:pPr>
        <w:pStyle w:val="Normal"/>
        <w:framePr w:w="3233" w:hAnchor="page" w:vAnchor="page" w:x="662" w:y="678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Restructuring and other charges</w:t>
      </w:r>
    </w:p>
    <w:p>
      <w:pPr>
        <w:pStyle w:val="Normal"/>
        <w:framePr w:w="344" w:hAnchor="page" w:vAnchor="page" w:x="5368" w:y="678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02" w:hAnchor="page" w:vAnchor="page" w:x="6385" w:y="678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1.7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75" w:hAnchor="page" w:vAnchor="page" w:x="7687" w:y="678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4.7 </w:t>
      </w:r>
    </w:p>
    <w:p>
      <w:pPr>
        <w:pStyle w:val="Normal"/>
        <w:framePr w:w="575" w:hAnchor="page" w:vAnchor="page" w:x="9047" w:y="678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4.1 </w:t>
      </w:r>
    </w:p>
    <w:p>
      <w:pPr>
        <w:pStyle w:val="Normal"/>
        <w:framePr w:w="702" w:hAnchor="page" w:vAnchor="page" w:x="10407" w:y="678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7.0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91" w:hAnchor="page" w:vAnchor="page" w:x="11627" w:y="678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10.9 </w:t>
      </w:r>
    </w:p>
    <w:p>
      <w:pPr>
        <w:pStyle w:val="Normal"/>
        <w:framePr w:w="1308" w:hAnchor="page" w:vAnchor="page" w:x="662" w:y="655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Impairment</w:t>
      </w:r>
    </w:p>
    <w:p>
      <w:pPr>
        <w:pStyle w:val="Normal"/>
        <w:framePr w:w="344" w:hAnchor="page" w:vAnchor="page" w:x="5368" w:y="655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02" w:hAnchor="page" w:vAnchor="page" w:x="6385" w:y="655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2.0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07" w:hAnchor="page" w:vAnchor="page" w:x="7661" w:y="655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—   </w:t>
      </w:r>
    </w:p>
    <w:p>
      <w:pPr>
        <w:pStyle w:val="Normal"/>
        <w:framePr w:w="575" w:hAnchor="page" w:vAnchor="page" w:x="9047" w:y="655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3.6 </w:t>
      </w:r>
    </w:p>
    <w:p>
      <w:pPr>
        <w:pStyle w:val="Normal"/>
        <w:framePr w:w="702" w:hAnchor="page" w:vAnchor="page" w:x="10407" w:y="655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2.0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75" w:hAnchor="page" w:vAnchor="page" w:x="11723" w:y="655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4.7 </w:t>
      </w:r>
    </w:p>
    <w:p>
      <w:pPr>
        <w:pStyle w:val="Normal"/>
        <w:framePr w:w="2319" w:hAnchor="page" w:vAnchor="page" w:x="276" w:y="632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Charges and (credits):</w:t>
      </w:r>
    </w:p>
    <w:p>
      <w:pPr>
        <w:pStyle w:val="Normal"/>
        <w:framePr w:w="344" w:hAnchor="page" w:vAnchor="page" w:x="5368" w:y="632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44" w:hAnchor="page" w:vAnchor="page" w:x="6684" w:y="632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44" w:hAnchor="page" w:vAnchor="page" w:x="10706" w:y="632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846" w:hAnchor="page" w:vAnchor="page" w:x="276" w:y="607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Net income (loss) attributable to TechnipFMC plc</w:t>
      </w:r>
    </w:p>
    <w:p>
      <w:pPr>
        <w:pStyle w:val="Normal"/>
        <w:framePr w:w="344" w:hAnchor="page" w:vAnchor="page" w:x="5368" w:y="60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44" w:hAnchor="page" w:vAnchor="page" w:x="5715" w:y="60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$</w:t>
      </w:r>
    </w:p>
    <w:p>
      <w:pPr>
        <w:pStyle w:val="Normal"/>
        <w:framePr w:w="818" w:hAnchor="page" w:vAnchor="page" w:x="6289" w:y="60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90.0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44" w:hAnchor="page" w:vAnchor="page" w:x="7031" w:y="60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$</w:t>
      </w:r>
    </w:p>
    <w:p>
      <w:pPr>
        <w:pStyle w:val="Normal"/>
        <w:framePr w:w="845" w:hAnchor="page" w:vAnchor="page" w:x="7527" w:y="60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(87.2) </w:t>
      </w:r>
    </w:p>
    <w:p>
      <w:pPr>
        <w:pStyle w:val="Normal"/>
        <w:framePr w:w="344" w:hAnchor="page" w:vAnchor="page" w:x="8377" w:y="60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$</w:t>
      </w:r>
    </w:p>
    <w:p>
      <w:pPr>
        <w:pStyle w:val="Normal"/>
        <w:framePr w:w="575" w:hAnchor="page" w:vAnchor="page" w:x="9047" w:y="60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5.0 </w:t>
      </w:r>
    </w:p>
    <w:p>
      <w:pPr>
        <w:pStyle w:val="Normal"/>
        <w:framePr w:w="344" w:hAnchor="page" w:vAnchor="page" w:x="9737" w:y="60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$</w:t>
      </w:r>
    </w:p>
    <w:p>
      <w:pPr>
        <w:pStyle w:val="Normal"/>
        <w:framePr w:w="702" w:hAnchor="page" w:vAnchor="page" w:x="10407" w:y="60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3.2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44" w:hAnchor="page" w:vAnchor="page" w:x="11053" w:y="60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$</w:t>
      </w:r>
    </w:p>
    <w:p>
      <w:pPr>
        <w:pStyle w:val="Normal"/>
        <w:framePr w:w="845" w:hAnchor="page" w:vAnchor="page" w:x="11563" w:y="60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(35.2) </w:t>
      </w:r>
    </w:p>
    <w:p>
      <w:pPr>
        <w:pStyle w:val="Normal"/>
        <w:framePr w:w="273" w:hAnchor="page" w:vAnchor="page" w:x="5368" w:y="5906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 xml:space="preserve">  </w:t>
      </w:r>
    </w:p>
    <w:p>
      <w:pPr>
        <w:pStyle w:val="Normal"/>
        <w:framePr w:w="550" w:hAnchor="page" w:vAnchor="page" w:x="6016" w:y="5906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5"/>
          <w:szCs w:val="15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5"/>
          <w:szCs w:val="15"/>
        </w:rPr>
        <w:t>2023</w:t>
      </w:r>
    </w:p>
    <w:p>
      <w:pPr>
        <w:pStyle w:val="Normal"/>
        <w:framePr w:w="273" w:hAnchor="page" w:vAnchor="page" w:x="6684" w:y="5906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 xml:space="preserve">  </w:t>
      </w:r>
    </w:p>
    <w:p>
      <w:pPr>
        <w:pStyle w:val="Normal"/>
        <w:framePr w:w="1254" w:hAnchor="page" w:vAnchor="page" w:x="7032" w:y="5906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5"/>
          <w:szCs w:val="15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5"/>
          <w:szCs w:val="15"/>
        </w:rPr>
        <w:t>June 30, 2023</w:t>
      </w:r>
    </w:p>
    <w:p>
      <w:pPr>
        <w:pStyle w:val="Normal"/>
        <w:framePr w:w="550" w:hAnchor="page" w:vAnchor="page" w:x="8678" w:y="5906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5"/>
          <w:szCs w:val="15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5"/>
          <w:szCs w:val="15"/>
        </w:rPr>
        <w:t>2022</w:t>
      </w:r>
    </w:p>
    <w:p>
      <w:pPr>
        <w:pStyle w:val="Normal"/>
        <w:framePr w:w="550" w:hAnchor="page" w:vAnchor="page" w:x="10038" w:y="5906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5"/>
          <w:szCs w:val="15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5"/>
          <w:szCs w:val="15"/>
        </w:rPr>
        <w:t>2023</w:t>
      </w:r>
    </w:p>
    <w:p>
      <w:pPr>
        <w:pStyle w:val="Normal"/>
        <w:framePr w:w="273" w:hAnchor="page" w:vAnchor="page" w:x="10706" w:y="5906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 xml:space="preserve">  </w:t>
      </w:r>
    </w:p>
    <w:p>
      <w:pPr>
        <w:pStyle w:val="Normal"/>
        <w:framePr w:w="550" w:hAnchor="page" w:vAnchor="page" w:x="11354" w:y="5906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5"/>
          <w:szCs w:val="15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5"/>
          <w:szCs w:val="15"/>
        </w:rPr>
        <w:t>2022</w:t>
      </w:r>
    </w:p>
    <w:p>
      <w:pPr>
        <w:pStyle w:val="Normal"/>
        <w:framePr w:w="1259" w:hAnchor="page" w:vAnchor="page" w:x="5721" w:y="5747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5"/>
          <w:szCs w:val="15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5"/>
          <w:szCs w:val="15"/>
        </w:rPr>
        <w:t>September 30,</w:t>
      </w:r>
    </w:p>
    <w:p>
      <w:pPr>
        <w:pStyle w:val="Normal"/>
        <w:framePr w:w="1259" w:hAnchor="page" w:vAnchor="page" w:x="8383" w:y="5747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5"/>
          <w:szCs w:val="15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5"/>
          <w:szCs w:val="15"/>
        </w:rPr>
        <w:t>September 30,</w:t>
      </w:r>
    </w:p>
    <w:p>
      <w:pPr>
        <w:pStyle w:val="Normal"/>
        <w:framePr w:w="1259" w:hAnchor="page" w:vAnchor="page" w:x="9743" w:y="5747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5"/>
          <w:szCs w:val="15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5"/>
          <w:szCs w:val="15"/>
        </w:rPr>
        <w:t>September 30,</w:t>
      </w:r>
    </w:p>
    <w:p>
      <w:pPr>
        <w:pStyle w:val="Normal"/>
        <w:framePr w:w="1259" w:hAnchor="page" w:vAnchor="page" w:x="11059" w:y="5747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5"/>
          <w:szCs w:val="15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5"/>
          <w:szCs w:val="15"/>
        </w:rPr>
        <w:t>September 30,</w:t>
      </w:r>
    </w:p>
    <w:p>
      <w:pPr>
        <w:pStyle w:val="Normal"/>
        <w:framePr w:w="273" w:hAnchor="page" w:vAnchor="page" w:x="5368" w:y="5573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 xml:space="preserve">  </w:t>
      </w:r>
    </w:p>
    <w:p>
      <w:pPr>
        <w:pStyle w:val="Normal"/>
        <w:framePr w:w="1742" w:hAnchor="page" w:vAnchor="page" w:x="6851" w:y="5573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5"/>
          <w:szCs w:val="15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5"/>
          <w:szCs w:val="15"/>
        </w:rPr>
        <w:t>Three months ended</w:t>
      </w:r>
    </w:p>
    <w:p>
      <w:pPr>
        <w:pStyle w:val="Normal"/>
        <w:framePr w:w="1660" w:hAnchor="page" w:vAnchor="page" w:x="10234" w:y="5573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5"/>
          <w:szCs w:val="15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5"/>
          <w:szCs w:val="15"/>
        </w:rPr>
        <w:t>Nine months ended</w:t>
      </w:r>
    </w:p>
    <w:p>
      <w:pPr>
        <w:pStyle w:val="Normal"/>
        <w:framePr w:w="8086" w:hAnchor="page" w:vAnchor="page" w:x="276" w:y="50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7 in the Company’s earnings release for the three months ended September 30, 2023.</w:t>
      </w:r>
    </w:p>
    <w:p>
      <w:pPr>
        <w:pStyle w:val="Normal"/>
        <w:framePr w:w="14287" w:hAnchor="page" w:vAnchor="page" w:x="276" w:y="485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The following 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(in italics)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is an example of the Company’s intended disclosure based on the illustrative revision of its actual disclosure of Exhibits 6 and</w:t>
      </w:r>
    </w:p>
    <w:p>
      <w:pPr>
        <w:pStyle w:val="Normal"/>
        <w:framePr w:w="10271" w:hAnchor="page" w:vAnchor="page" w:x="276" w:y="439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Exhibits 6 and 7, to provide additional clarity with respect to the tax impact of non-GAAP adjustment items.</w:t>
      </w:r>
    </w:p>
    <w:p>
      <w:pPr>
        <w:pStyle w:val="Normal"/>
        <w:framePr w:w="13868" w:hAnchor="page" w:vAnchor="page" w:x="276" w:y="41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consolidated Adjusted EBITDA, which are currently set forth in the Company’s earnings release for the three months ended September 30, 2023 as</w:t>
      </w:r>
    </w:p>
    <w:p>
      <w:pPr>
        <w:pStyle w:val="Normal"/>
        <w:framePr w:w="13408" w:hAnchor="page" w:vAnchor="page" w:x="276" w:y="39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Company further advises the Staff that in the Company’s future earnings releases, the Company will revise the reconciliation tables for its</w:t>
      </w:r>
    </w:p>
    <w:p>
      <w:pPr>
        <w:pStyle w:val="Normal"/>
        <w:framePr w:w="2314" w:hAnchor="page" w:vAnchor="page" w:x="276" w:y="34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estimated accordingly.</w:t>
      </w:r>
    </w:p>
    <w:p>
      <w:pPr>
        <w:pStyle w:val="Normal"/>
        <w:framePr w:w="13788" w:hAnchor="page" w:vAnchor="page" w:x="276" w:y="32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recorded requires application of a specific tax rate, tax treatment or valuation allowance consideration, in which case the tax effect of such item is</w:t>
      </w:r>
    </w:p>
    <w:p>
      <w:pPr>
        <w:pStyle w:val="Normal"/>
        <w:framePr w:w="13774" w:hAnchor="page" w:vAnchor="page" w:x="276" w:y="30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applying the relevant jurisdiction tax rate to the pretax amount, unless the nature of the item and/or the tax jurisdiction in which the item has been</w:t>
      </w:r>
    </w:p>
    <w:p>
      <w:pPr>
        <w:pStyle w:val="Normal"/>
        <w:framePr w:w="14112" w:hAnchor="page" w:vAnchor="page" w:x="276" w:y="27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Non-GAAP adjustments are presented on a gross basis and are not net of tax. Estimates of the tax effect of each adjustment is calculated item by item,</w:t>
      </w:r>
    </w:p>
    <w:p>
      <w:pPr>
        <w:pStyle w:val="Normal"/>
        <w:framePr w:w="2972" w:hAnchor="page" w:vAnchor="page" w:x="276" w:y="23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non-GAAP adjustment items.</w:t>
      </w:r>
    </w:p>
    <w:p>
      <w:pPr>
        <w:pStyle w:val="Normal"/>
        <w:framePr w:w="14079" w:hAnchor="page" w:vAnchor="page" w:x="276" w:y="208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Technip Energies, which are adjustment items to the Company’s non-GAAP reconciliation tables, to further explain the specific tax impact of the two</w:t>
      </w:r>
    </w:p>
    <w:p>
      <w:pPr>
        <w:pStyle w:val="Normal"/>
        <w:framePr w:w="13648" w:hAnchor="page" w:vAnchor="page" w:x="276" w:y="18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response to the Staff’s Comment No. 3 above)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and also included footnotes to Non-recurring legal settlement charges and Loss from investment in</w:t>
      </w:r>
    </w:p>
    <w:p>
      <w:pPr>
        <w:pStyle w:val="Normal"/>
        <w:framePr w:w="14062" w:hAnchor="page" w:vAnchor="page" w:x="276" w:y="16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Company has included the following language in its earnings release for the three months ended September 30, 2023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 xml:space="preserve"> (in italics below and also in our</w:t>
      </w:r>
    </w:p>
    <w:p>
      <w:pPr>
        <w:pStyle w:val="Normal"/>
        <w:framePr w:w="14033" w:hAnchor="page" w:vAnchor="page" w:x="276" w:y="13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 response to the Staff’s request to revise the Company’s disclosures to explain how the tax effects of the non-GAAP adjustments are calculated, the</w:t>
      </w:r>
    </w:p>
    <w:p>
      <w:pPr>
        <w:pStyle w:val="Normal"/>
        <w:framePr w:w="877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Page 5</w:t>
      </w:r>
    </w:p>
    <w:p>
      <w:pPr>
        <w:pStyle w:val="Normal"/>
        <w:framePr w:w="2008" w:hAnchor="page" w:vAnchor="page" w:x="27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November 6, 2023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7pt;margin-top:1pt;z-index:-16777012;width:598pt;height:7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12.8pt;margin-top:1pt;z-index:-1677700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12.8pt;margin-top:2.45pt;z-index:-16777004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597.95pt;margin-top:1pt;z-index:-16777000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12.8pt;margin-top:1pt;z-index:-16776996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12.8pt;margin-top:302.6pt;z-index:-16776992;width:256.6pt;height:1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67.4pt;margin-top:302.6pt;z-index:-16776988;width:19.35pt;height:1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284.75pt;margin-top:302.6pt;z-index:-16776984;width:9.95pt;height:1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292.7pt;margin-top:302.6pt;z-index:-16776980;width:39.6pt;height:1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330.3pt;margin-top:302.6pt;z-index:-16776976;width:4.9pt;height:1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333.2pt;margin-top:302.6pt;z-index:-16776972;width:19.35pt;height:1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350.55pt;margin-top:302.6pt;z-index:-16776968;width:9.95pt;height:1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358.5pt;margin-top:302.6pt;z-index:-16776964;width:38.9pt;height:1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395.4pt;margin-top:302.6pt;z-index:-16776960;width:7.8pt;height:1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401.2pt;margin-top:302.6pt;z-index:-16776956;width:18.65pt;height:1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417.85pt;margin-top:302.6pt;z-index:-16776952;width:9.95pt;height:1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425.8pt;margin-top:302.6pt;z-index:-16776948;width:39.6pt;height:1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463.4pt;margin-top:302.6pt;z-index:-16776944;width:7.8pt;height:1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469.2pt;margin-top:302.6pt;z-index:-16776940;width:18.65pt;height:1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485.85pt;margin-top:302.6pt;z-index:-16776936;width:9.95pt;height:1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493.8pt;margin-top:302.6pt;z-index:-16776932;width:39.6pt;height:1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531.4pt;margin-top:302.6pt;z-index:-16776928;width:4.9pt;height:1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534.3pt;margin-top:302.6pt;z-index:-16776924;width:19.35pt;height:1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551.65pt;margin-top:302.6pt;z-index:-16776920;width:9.95pt;height:1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559.6pt;margin-top:302.6pt;z-index:-16776916;width:39.6pt;height:1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597.2pt;margin-top:302.6pt;z-index:-16776912;width:7.8pt;height:1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2.8pt;margin-top:326.5pt;z-index:-16776908;width:256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67.4pt;margin-top:326.5pt;z-index:-16776904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84.75pt;margin-top:326.5pt;z-index:-16776900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2.7pt;margin-top:326.5pt;z-index:-16776896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330.3pt;margin-top:326.5pt;z-index:-16776892;width:4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333.2pt;margin-top:326.5pt;z-index:-16776888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350.55pt;margin-top:326.5pt;z-index:-16776884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58.5pt;margin-top:326.5pt;z-index:-16776880;width:38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395.4pt;margin-top:326.5pt;z-index:-16776876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401.2pt;margin-top:326.5pt;z-index:-16776872;width:18.6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417.85pt;margin-top:326.5pt;z-index:-16776868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25.8pt;margin-top:326.5pt;z-index:-16776864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463.4pt;margin-top:326.5pt;z-index:-16776860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69.2pt;margin-top:326.5pt;z-index:-16776856;width:18.6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85.85pt;margin-top:326.5pt;z-index:-16776852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493.8pt;margin-top:326.5pt;z-index:-16776848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531.4pt;margin-top:326.5pt;z-index:-16776844;width:4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34.3pt;margin-top:326.5pt;z-index:-16776840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51.65pt;margin-top:326.5pt;z-index:-16776836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9.6pt;margin-top:326.5pt;z-index:-16776832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97.2pt;margin-top:326.5pt;z-index:-16776828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12.8pt;margin-top:349.65pt;z-index:-16776824;width:256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267.4pt;margin-top:349.65pt;z-index:-16776820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284.75pt;margin-top:349.65pt;z-index:-16776816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292.7pt;margin-top:349.65pt;z-index:-16776812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330.3pt;margin-top:349.65pt;z-index:-16776808;width:4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333.2pt;margin-top:349.65pt;z-index:-16776804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50.55pt;margin-top:349.65pt;z-index:-16776800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358.5pt;margin-top:349.65pt;z-index:-16776796;width:38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95.4pt;margin-top:349.65pt;z-index:-16776792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401.2pt;margin-top:349.65pt;z-index:-16776788;width:18.6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417.85pt;margin-top:349.65pt;z-index:-16776784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425.8pt;margin-top:349.65pt;z-index:-16776780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463.4pt;margin-top:349.65pt;z-index:-16776776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469.2pt;margin-top:349.65pt;z-index:-16776772;width:18.6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485.85pt;margin-top:349.65pt;z-index:-16776768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493.8pt;margin-top:349.65pt;z-index:-16776764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531.4pt;margin-top:349.65pt;z-index:-16776760;width:4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534.3pt;margin-top:349.65pt;z-index:-16776756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551.65pt;margin-top:349.65pt;z-index:-16776752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559.6pt;margin-top:349.65pt;z-index:-16776748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597.2pt;margin-top:349.65pt;z-index:-16776744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12.8pt;margin-top:372.8pt;z-index:-16776740;width:256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267.4pt;margin-top:372.8pt;z-index:-16776736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284.75pt;margin-top:372.8pt;z-index:-16776732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292.7pt;margin-top:372.8pt;z-index:-16776728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30.3pt;margin-top:372.8pt;z-index:-16776724;width:4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333.2pt;margin-top:372.8pt;z-index:-16776720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350.55pt;margin-top:372.8pt;z-index:-16776716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358.5pt;margin-top:372.8pt;z-index:-16776712;width:38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395.4pt;margin-top:372.8pt;z-index:-16776708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401.2pt;margin-top:372.8pt;z-index:-16776704;width:18.6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17.85pt;margin-top:372.8pt;z-index:-16776700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425.8pt;margin-top:372.8pt;z-index:-16776696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463.4pt;margin-top:372.8pt;z-index:-16776692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469.2pt;margin-top:372.8pt;z-index:-16776688;width:18.6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485.85pt;margin-top:372.8pt;z-index:-16776684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493.8pt;margin-top:372.8pt;z-index:-16776680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531.4pt;margin-top:372.8pt;z-index:-16776676;width:4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534.3pt;margin-top:372.8pt;z-index:-16776672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551.65pt;margin-top:372.8pt;z-index:-16776668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559.6pt;margin-top:372.8pt;z-index:-16776664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597.2pt;margin-top:372.8pt;z-index:-16776660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12.8pt;margin-top:398.8pt;z-index:-16776656;width:256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267.4pt;margin-top:398.8pt;z-index:-16776652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284.75pt;margin-top:398.8pt;z-index:-16776648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292.7pt;margin-top:398.8pt;z-index:-16776644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30.3pt;margin-top:398.8pt;z-index:-16776640;width:4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33.2pt;margin-top:398.8pt;z-index:-16776636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50.55pt;margin-top:398.8pt;z-index:-16776632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58.5pt;margin-top:398.8pt;z-index:-16776628;width:38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395.4pt;margin-top:398.8pt;z-index:-16776624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401.2pt;margin-top:398.8pt;z-index:-16776620;width:18.6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7.85pt;margin-top:398.8pt;z-index:-16776616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25.8pt;margin-top:398.8pt;z-index:-16776612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63.4pt;margin-top:398.8pt;z-index:-16776608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69.2pt;margin-top:398.8pt;z-index:-16776604;width:18.6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85.85pt;margin-top:398.8pt;z-index:-16776600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93.8pt;margin-top:398.8pt;z-index:-16776596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31.4pt;margin-top:398.8pt;z-index:-16776592;width:4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534.3pt;margin-top:398.8pt;z-index:-16776588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51.65pt;margin-top:398.8pt;z-index:-16776584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59.6pt;margin-top:398.8pt;z-index:-16776580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97.2pt;margin-top:398.8pt;z-index:-16776576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12.8pt;margin-top:421.95pt;z-index:-16776572;width:256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267.4pt;margin-top:421.95pt;z-index:-16776568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284.75pt;margin-top:421.95pt;z-index:-16776564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292.7pt;margin-top:421.95pt;z-index:-16776560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330.3pt;margin-top:421.95pt;z-index:-16776556;width:4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333.2pt;margin-top:421.95pt;z-index:-16776552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350.55pt;margin-top:421.95pt;z-index:-16776548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358.5pt;margin-top:421.95pt;z-index:-16776544;width:38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395.4pt;margin-top:421.95pt;z-index:-16776540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401.2pt;margin-top:421.95pt;z-index:-16776536;width:18.6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417.85pt;margin-top:421.95pt;z-index:-16776532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425.8pt;margin-top:421.95pt;z-index:-16776528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463.4pt;margin-top:421.95pt;z-index:-16776524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469.2pt;margin-top:421.95pt;z-index:-16776520;width:18.6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485.85pt;margin-top:421.95pt;z-index:-16776516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493.8pt;margin-top:421.95pt;z-index:-16776512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531.4pt;margin-top:421.95pt;z-index:-16776508;width:4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34.3pt;margin-top:421.95pt;z-index:-16776504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551.65pt;margin-top:421.95pt;z-index:-16776500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559.6pt;margin-top:421.95pt;z-index:-16776496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597.2pt;margin-top:421.95pt;z-index:-16776492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12.8pt;margin-top:445.1pt;z-index:-16776488;width:256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267.4pt;margin-top:445.1pt;z-index:-16776484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284.75pt;margin-top:445.1pt;z-index:-16776480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292.7pt;margin-top:445.1pt;z-index:-16776476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330.3pt;margin-top:445.1pt;z-index:-16776472;width:4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333.2pt;margin-top:445.1pt;z-index:-16776468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350.55pt;margin-top:445.1pt;z-index:-16776464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358.5pt;margin-top:445.1pt;z-index:-16776460;width:38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395.4pt;margin-top:445.1pt;z-index:-16776456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401.2pt;margin-top:445.1pt;z-index:-16776452;width:18.6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417.85pt;margin-top:445.1pt;z-index:-16776448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425.8pt;margin-top:445.1pt;z-index:-16776444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463.4pt;margin-top:445.1pt;z-index:-16776440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469.2pt;margin-top:445.1pt;z-index:-16776436;width:18.6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485.85pt;margin-top:445.1pt;z-index:-16776432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493.8pt;margin-top:445.1pt;z-index:-16776428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531.4pt;margin-top:445.1pt;z-index:-16776424;width:4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534.3pt;margin-top:445.1pt;z-index:-16776420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551.65pt;margin-top:445.1pt;z-index:-16776416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559.6pt;margin-top:445.1pt;z-index:-16776412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597.2pt;margin-top:445.1pt;z-index:-16776408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12.8pt;margin-top:468.25pt;z-index:-16776404;width:256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267.4pt;margin-top:468.25pt;z-index:-16776400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284.75pt;margin-top:468.25pt;z-index:-16776396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292.7pt;margin-top:468.25pt;z-index:-16776392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330.3pt;margin-top:468.25pt;z-index:-16776388;width:4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333.2pt;margin-top:468.25pt;z-index:-16776384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350.55pt;margin-top:468.25pt;z-index:-16776380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358.5pt;margin-top:468.25pt;z-index:-16776376;width:38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395.4pt;margin-top:468.25pt;z-index:-16776372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401.2pt;margin-top:468.25pt;z-index:-16776368;width:18.6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17.85pt;margin-top:468.25pt;z-index:-16776364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425.8pt;margin-top:468.25pt;z-index:-16776360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463.4pt;margin-top:468.25pt;z-index:-16776356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469.2pt;margin-top:468.25pt;z-index:-16776352;width:18.6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485.85pt;margin-top:468.25pt;z-index:-16776348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493.8pt;margin-top:468.25pt;z-index:-16776344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31.4pt;margin-top:468.25pt;z-index:-16776340;width:4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34.3pt;margin-top:468.25pt;z-index:-16776336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51.65pt;margin-top:468.25pt;z-index:-16776332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559.6pt;margin-top:468.25pt;z-index:-16776328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597.2pt;margin-top:468.25pt;z-index:-16776324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12.8pt;margin-top:495.75pt;z-index:-16776320;width:256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267.4pt;margin-top:495.75pt;z-index:-16776316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284.75pt;margin-top:495.75pt;z-index:-16776312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292.7pt;margin-top:495.75pt;z-index:-16776308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330.3pt;margin-top:495.75pt;z-index:-16776304;width:4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333.2pt;margin-top:495.75pt;z-index:-16776300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350.55pt;margin-top:495.75pt;z-index:-16776296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358.5pt;margin-top:495.75pt;z-index:-16776292;width:38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395.4pt;margin-top:495.75pt;z-index:-16776288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401.2pt;margin-top:495.75pt;z-index:-16776284;width:18.6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417.85pt;margin-top:495.75pt;z-index:-16776280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425.8pt;margin-top:495.75pt;z-index:-16776276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463.4pt;margin-top:495.75pt;z-index:-16776272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469.2pt;margin-top:495.75pt;z-index:-16776268;width:18.6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485.85pt;margin-top:495.75pt;z-index:-16776264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493.8pt;margin-top:495.75pt;z-index:-16776260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531.4pt;margin-top:495.75pt;z-index:-16776256;width:4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534.3pt;margin-top:495.75pt;z-index:-16776252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551.65pt;margin-top:495.75pt;z-index:-16776248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559.6pt;margin-top:495.75pt;z-index:-16776244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597.2pt;margin-top:495.75pt;z-index:-16776240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12.8pt;margin-top:520.35pt;z-index:-16776236;width:256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267.4pt;margin-top:520.35pt;z-index:-16776232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284.75pt;margin-top:520.35pt;z-index:-16776228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292.7pt;margin-top:520.35pt;z-index:-16776224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30.3pt;margin-top:520.35pt;z-index:-16776220;width:4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33.2pt;margin-top:520.35pt;z-index:-16776216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50.55pt;margin-top:520.35pt;z-index:-16776212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358.5pt;margin-top:520.35pt;z-index:-16776208;width:38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95.4pt;margin-top:520.35pt;z-index:-16776204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401.2pt;margin-top:520.35pt;z-index:-16776200;width:18.6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417.85pt;margin-top:520.35pt;z-index:-16776196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425.8pt;margin-top:520.35pt;z-index:-16776192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463.4pt;margin-top:520.35pt;z-index:-16776188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469.2pt;margin-top:520.35pt;z-index:-16776184;width:18.6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485.85pt;margin-top:520.35pt;z-index:-16776180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493.8pt;margin-top:520.35pt;z-index:-16776176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531.4pt;margin-top:520.35pt;z-index:-16776172;width:4.9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534.3pt;margin-top:520.35pt;z-index:-16776168;width:19.3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551.65pt;margin-top:520.35pt;z-index:-16776164;width:9.95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559.6pt;margin-top:520.35pt;z-index:-16776160;width:39.6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597.2pt;margin-top:520.35pt;z-index:-16776156;width:7.8pt;height:1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284.75pt;margin-top:384.35pt;z-index:-16776152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292.7pt;margin-top:384.35pt;z-index:-16776148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350.55pt;margin-top:384.35pt;z-index:-16776144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358.5pt;margin-top:384.35pt;z-index:-16776140;width:38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417.85pt;margin-top:384.35pt;z-index:-16776136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425.8pt;margin-top:384.35pt;z-index:-16776132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485.85pt;margin-top:384.35pt;z-index:-16776128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493.8pt;margin-top:384.35pt;z-index:-16776124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551.65pt;margin-top:384.35pt;z-index:-16776120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559.6pt;margin-top:384.35pt;z-index:-16776116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284.75pt;margin-top:397.35pt;z-index:-16776112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292.7pt;margin-top:397.35pt;z-index:-16776108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50.55pt;margin-top:397.35pt;z-index:-16776104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58.5pt;margin-top:397.35pt;z-index:-16776100;width:38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417.85pt;margin-top:397.35pt;z-index:-16776096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425.8pt;margin-top:397.35pt;z-index:-16776092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85.85pt;margin-top:397.35pt;z-index:-16776088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493.8pt;margin-top:397.35pt;z-index:-16776084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551.65pt;margin-top:397.35pt;z-index:-16776080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559.6pt;margin-top:397.35pt;z-index:-16776076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284.75pt;margin-top:479.85pt;z-index:-16776072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292.7pt;margin-top:479.85pt;z-index:-16776068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350.55pt;margin-top:479.85pt;z-index:-16776064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358.5pt;margin-top:479.85pt;z-index:-16776060;width:38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417.85pt;margin-top:479.85pt;z-index:-16776056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0" style="position:absolute;margin-left:425.8pt;margin-top:479.85pt;z-index:-16776052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1" style="position:absolute;margin-left:485.85pt;margin-top:479.85pt;z-index:-16776048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2" style="position:absolute;margin-left:493.8pt;margin-top:479.85pt;z-index:-16776044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3" style="position:absolute;margin-left:551.65pt;margin-top:479.85pt;z-index:-16776040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4" style="position:absolute;margin-left:559.6pt;margin-top:479.85pt;z-index:-16776036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5" style="position:absolute;margin-left:284.75pt;margin-top:492.85pt;z-index:-16776032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6" style="position:absolute;margin-left:284.75pt;margin-top:494.3pt;z-index:-16776028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7" style="position:absolute;margin-left:292.7pt;margin-top:492.85pt;z-index:-16776024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8" style="position:absolute;margin-left:292.7pt;margin-top:494.3pt;z-index:-16776020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9" style="position:absolute;margin-left:350.55pt;margin-top:492.85pt;z-index:-16776016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0" style="position:absolute;margin-left:350.55pt;margin-top:494.3pt;z-index:-16776012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1" style="position:absolute;margin-left:358.5pt;margin-top:492.85pt;z-index:-16776008;width:38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2" style="position:absolute;margin-left:358.5pt;margin-top:494.3pt;z-index:-16776004;width:38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3" style="position:absolute;margin-left:417.85pt;margin-top:492.85pt;z-index:-16776000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4" style="position:absolute;margin-left:417.85pt;margin-top:494.3pt;z-index:-16775996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5" style="position:absolute;margin-left:425.8pt;margin-top:492.85pt;z-index:-16775992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6" style="position:absolute;margin-left:425.8pt;margin-top:494.3pt;z-index:-16775988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7" style="position:absolute;margin-left:485.85pt;margin-top:492.85pt;z-index:-16775984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8" style="position:absolute;margin-left:485.85pt;margin-top:494.3pt;z-index:-16775980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9" style="position:absolute;margin-left:493.8pt;margin-top:492.85pt;z-index:-16775976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0" style="position:absolute;margin-left:493.8pt;margin-top:494.3pt;z-index:-16775972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1" style="position:absolute;margin-left:551.65pt;margin-top:492.85pt;z-index:-16775968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2" style="position:absolute;margin-left:551.65pt;margin-top:494.3pt;z-index:-16775964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3" style="position:absolute;margin-left:559.6pt;margin-top:492.85pt;z-index:-16775960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4" style="position:absolute;margin-left:559.6pt;margin-top:494.3pt;z-index:-16775956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5" style="position:absolute;margin-left:284.75pt;margin-top:518.9pt;z-index:-16775952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6" style="position:absolute;margin-left:292.7pt;margin-top:518.9pt;z-index:-16775948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7" style="position:absolute;margin-left:350.55pt;margin-top:518.9pt;z-index:-16775944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8" style="position:absolute;margin-left:358.5pt;margin-top:518.9pt;z-index:-16775940;width:38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9" style="position:absolute;margin-left:417.85pt;margin-top:518.9pt;z-index:-16775936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0" style="position:absolute;margin-left:425.8pt;margin-top:518.9pt;z-index:-16775932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1" style="position:absolute;margin-left:485.85pt;margin-top:518.9pt;z-index:-16775928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2" style="position:absolute;margin-left:493.8pt;margin-top:518.9pt;z-index:-16775924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3" style="position:absolute;margin-left:551.65pt;margin-top:518.9pt;z-index:-16775920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4" style="position:absolute;margin-left:559.6pt;margin-top:518.9pt;z-index:-16775916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5" style="position:absolute;margin-left:284.75pt;margin-top:531.9pt;z-index:-16775912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6" style="position:absolute;margin-left:284.75pt;margin-top:533.35pt;z-index:-16775908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7" style="position:absolute;margin-left:292.7pt;margin-top:531.9pt;z-index:-16775904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8" style="position:absolute;margin-left:292.7pt;margin-top:533.35pt;z-index:-16775900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9" style="position:absolute;margin-left:350.55pt;margin-top:531.9pt;z-index:-16775896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0" style="position:absolute;margin-left:350.55pt;margin-top:533.35pt;z-index:-16775892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1" style="position:absolute;margin-left:358.5pt;margin-top:531.9pt;z-index:-16775888;width:38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2" style="position:absolute;margin-left:358.5pt;margin-top:533.35pt;z-index:-16775884;width:38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3" style="position:absolute;margin-left:417.85pt;margin-top:531.9pt;z-index:-16775880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4" style="position:absolute;margin-left:417.85pt;margin-top:533.35pt;z-index:-16775876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5" style="position:absolute;margin-left:425.8pt;margin-top:531.9pt;z-index:-16775872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6" style="position:absolute;margin-left:425.8pt;margin-top:533.35pt;z-index:-16775868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7" style="position:absolute;margin-left:485.85pt;margin-top:531.9pt;z-index:-16775864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8" style="position:absolute;margin-left:485.85pt;margin-top:533.35pt;z-index:-16775860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9" style="position:absolute;margin-left:493.8pt;margin-top:531.9pt;z-index:-16775856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0" style="position:absolute;margin-left:493.8pt;margin-top:533.35pt;z-index:-16775852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1" style="position:absolute;margin-left:551.65pt;margin-top:531.9pt;z-index:-16775848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2" style="position:absolute;margin-left:551.65pt;margin-top:533.35pt;z-index:-16775844;width: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3" style="position:absolute;margin-left:559.6pt;margin-top:531.9pt;z-index:-16775840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4" style="position:absolute;margin-left:559.6pt;margin-top:533.35pt;z-index:-16775836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5" style="position:absolute;margin-left:559.6pt;margin-top:302.6pt;z-index:-16775832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6" style="position:absolute;margin-left:493.8pt;margin-top:302.6pt;z-index:-16775828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7" style="position:absolute;margin-left:425.8pt;margin-top:302.6pt;z-index:-16775824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8" style="position:absolute;margin-left:358.5pt;margin-top:302.6pt;z-index:-16775820;width:38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9" style="position:absolute;margin-left:292.7pt;margin-top:302.6pt;z-index:-16775816;width:3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0" style="position:absolute;margin-left:551.65pt;margin-top:286pt;z-index:-16775812;width:47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1" style="position:absolute;margin-left:551.65pt;margin-top:302.6pt;z-index:-16775808;width:47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2" style="position:absolute;margin-left:534.3pt;margin-top:286pt;z-index:-16775804;width:19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3" style="position:absolute;margin-left:531.4pt;margin-top:286pt;z-index:-16775800;width:4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4" style="position:absolute;margin-left:485.85pt;margin-top:302.6pt;z-index:-16775796;width:47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5" style="position:absolute;margin-left:417.85pt;margin-top:286pt;z-index:-16775792;width:47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6" style="position:absolute;margin-left:417.85pt;margin-top:302.6pt;z-index:-16775788;width:47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7" style="position:absolute;margin-left:401.2pt;margin-top:286pt;z-index:-16775784;width:18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8" style="position:absolute;margin-left:395.4pt;margin-top:286pt;z-index:-16775780;width:7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9" style="position:absolute;margin-left:350.55pt;margin-top:286pt;z-index:-16775776;width:46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0" style="position:absolute;margin-left:350.55pt;margin-top:302.6pt;z-index:-16775772;width:46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1" style="position:absolute;margin-left:333.2pt;margin-top:286pt;z-index:-16775768;width:19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2" style="position:absolute;margin-left:330.3pt;margin-top:286pt;z-index:-16775764;width:4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3" style="position:absolute;margin-left:284.75pt;margin-top:302.6pt;z-index:-16775760;width:47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4" style="position:absolute;margin-left:485.85pt;margin-top:286pt;z-index:-16775756;width:113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5" style="position:absolute;margin-left:284.75pt;margin-top:286pt;z-index:-16775752;width:180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6" style="position:absolute;margin-left:367.2pt;margin-top:640.4pt;z-index:-16775748;width:237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7" style="position:absolute;margin-left:13.8pt;margin-top:46.1pt;z-index:-16775744;width:146.1pt;height:16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8" o:title=""/>
          </v:shape>
        </w:pict>
      </w:r>
    </w:p>
    <w:sectPr>
      <w:pgSz w:w="12240" w:h="20160"/>
      <w:pgMar w:top="400" w:right="400" w:bottom="400" w:left="400" w:header="720" w:footer="720"/>
      <w:pgNumType w:start="5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TimesNewRomanPS-BoldItalicMT">
    <w:panose-1>"02020703060505090304"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0dfc9f5e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caef09bc-0000-0000-0000-000000000000}"/>
  </w:font>
  <w:font w:name="TimesNewRomanPS-ItalicMT">
    <w:panose-1>"02020503050405090304"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b520054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jpe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jpe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jpe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media/image291.png" Type="http://schemas.openxmlformats.org/officeDocument/2006/relationships/image"/><Relationship Id="rId292" Target="media/image292.png" Type="http://schemas.openxmlformats.org/officeDocument/2006/relationships/image"/><Relationship Id="rId293" Target="media/image293.png" Type="http://schemas.openxmlformats.org/officeDocument/2006/relationships/image"/><Relationship Id="rId294" Target="media/image294.png" Type="http://schemas.openxmlformats.org/officeDocument/2006/relationships/image"/><Relationship Id="rId295" Target="media/image295.png" Type="http://schemas.openxmlformats.org/officeDocument/2006/relationships/image"/><Relationship Id="rId296" Target="media/image296.png" Type="http://schemas.openxmlformats.org/officeDocument/2006/relationships/image"/><Relationship Id="rId297" Target="media/image297.png" Type="http://schemas.openxmlformats.org/officeDocument/2006/relationships/image"/><Relationship Id="rId298" Target="media/image298.png" Type="http://schemas.openxmlformats.org/officeDocument/2006/relationships/image"/><Relationship Id="rId299" Target="media/image29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00" Target="media/image300.png" Type="http://schemas.openxmlformats.org/officeDocument/2006/relationships/image"/><Relationship Id="rId301" Target="media/image301.png" Type="http://schemas.openxmlformats.org/officeDocument/2006/relationships/image"/><Relationship Id="rId302" Target="media/image302.png" Type="http://schemas.openxmlformats.org/officeDocument/2006/relationships/image"/><Relationship Id="rId303" Target="media/image303.png" Type="http://schemas.openxmlformats.org/officeDocument/2006/relationships/image"/><Relationship Id="rId304" Target="media/image304.png" Type="http://schemas.openxmlformats.org/officeDocument/2006/relationships/image"/><Relationship Id="rId305" Target="media/image305.png" Type="http://schemas.openxmlformats.org/officeDocument/2006/relationships/image"/><Relationship Id="rId306" Target="media/image306.png" Type="http://schemas.openxmlformats.org/officeDocument/2006/relationships/image"/><Relationship Id="rId307" Target="media/image307.png" Type="http://schemas.openxmlformats.org/officeDocument/2006/relationships/image"/><Relationship Id="rId308" Target="media/image308.png" Type="http://schemas.openxmlformats.org/officeDocument/2006/relationships/image"/><Relationship Id="rId309" Target="media/image309.png" Type="http://schemas.openxmlformats.org/officeDocument/2006/relationships/image"/><Relationship Id="rId31" Target="media/image31.png" Type="http://schemas.openxmlformats.org/officeDocument/2006/relationships/image"/><Relationship Id="rId310" Target="media/image310.png" Type="http://schemas.openxmlformats.org/officeDocument/2006/relationships/image"/><Relationship Id="rId311" Target="media/image311.png" Type="http://schemas.openxmlformats.org/officeDocument/2006/relationships/image"/><Relationship Id="rId312" Target="media/image312.png" Type="http://schemas.openxmlformats.org/officeDocument/2006/relationships/image"/><Relationship Id="rId313" Target="media/image313.png" Type="http://schemas.openxmlformats.org/officeDocument/2006/relationships/image"/><Relationship Id="rId314" Target="media/image314.png" Type="http://schemas.openxmlformats.org/officeDocument/2006/relationships/image"/><Relationship Id="rId315" Target="media/image315.png" Type="http://schemas.openxmlformats.org/officeDocument/2006/relationships/image"/><Relationship Id="rId316" Target="media/image316.png" Type="http://schemas.openxmlformats.org/officeDocument/2006/relationships/image"/><Relationship Id="rId317" Target="media/image317.png" Type="http://schemas.openxmlformats.org/officeDocument/2006/relationships/image"/><Relationship Id="rId318" Target="media/image318.png" Type="http://schemas.openxmlformats.org/officeDocument/2006/relationships/image"/><Relationship Id="rId319" Target="media/image319.png" Type="http://schemas.openxmlformats.org/officeDocument/2006/relationships/image"/><Relationship Id="rId32" Target="media/image32.png" Type="http://schemas.openxmlformats.org/officeDocument/2006/relationships/image"/><Relationship Id="rId320" Target="media/image320.png" Type="http://schemas.openxmlformats.org/officeDocument/2006/relationships/image"/><Relationship Id="rId321" Target="media/image321.png" Type="http://schemas.openxmlformats.org/officeDocument/2006/relationships/image"/><Relationship Id="rId322" Target="media/image322.png" Type="http://schemas.openxmlformats.org/officeDocument/2006/relationships/image"/><Relationship Id="rId323" Target="media/image323.png" Type="http://schemas.openxmlformats.org/officeDocument/2006/relationships/image"/><Relationship Id="rId324" Target="media/image324.png" Type="http://schemas.openxmlformats.org/officeDocument/2006/relationships/image"/><Relationship Id="rId325" Target="media/image325.png" Type="http://schemas.openxmlformats.org/officeDocument/2006/relationships/image"/><Relationship Id="rId326" Target="media/image326.png" Type="http://schemas.openxmlformats.org/officeDocument/2006/relationships/image"/><Relationship Id="rId327" Target="media/image327.png" Type="http://schemas.openxmlformats.org/officeDocument/2006/relationships/image"/><Relationship Id="rId328" Target="media/image328.png" Type="http://schemas.openxmlformats.org/officeDocument/2006/relationships/image"/><Relationship Id="rId329" Target="media/image329.png" Type="http://schemas.openxmlformats.org/officeDocument/2006/relationships/image"/><Relationship Id="rId33" Target="media/image33.png" Type="http://schemas.openxmlformats.org/officeDocument/2006/relationships/image"/><Relationship Id="rId330" Target="media/image330.png" Type="http://schemas.openxmlformats.org/officeDocument/2006/relationships/image"/><Relationship Id="rId331" Target="media/image331.png" Type="http://schemas.openxmlformats.org/officeDocument/2006/relationships/image"/><Relationship Id="rId332" Target="media/image332.png" Type="http://schemas.openxmlformats.org/officeDocument/2006/relationships/image"/><Relationship Id="rId333" Target="media/image333.png" Type="http://schemas.openxmlformats.org/officeDocument/2006/relationships/image"/><Relationship Id="rId334" Target="media/image334.png" Type="http://schemas.openxmlformats.org/officeDocument/2006/relationships/image"/><Relationship Id="rId335" Target="media/image335.png" Type="http://schemas.openxmlformats.org/officeDocument/2006/relationships/image"/><Relationship Id="rId336" Target="media/image336.png" Type="http://schemas.openxmlformats.org/officeDocument/2006/relationships/image"/><Relationship Id="rId337" Target="media/image337.png" Type="http://schemas.openxmlformats.org/officeDocument/2006/relationships/image"/><Relationship Id="rId338" Target="media/image338.png" Type="http://schemas.openxmlformats.org/officeDocument/2006/relationships/image"/><Relationship Id="rId339" Target="media/image339.png" Type="http://schemas.openxmlformats.org/officeDocument/2006/relationships/image"/><Relationship Id="rId34" Target="media/image34.png" Type="http://schemas.openxmlformats.org/officeDocument/2006/relationships/image"/><Relationship Id="rId340" Target="media/image340.png" Type="http://schemas.openxmlformats.org/officeDocument/2006/relationships/image"/><Relationship Id="rId341" Target="media/image341.png" Type="http://schemas.openxmlformats.org/officeDocument/2006/relationships/image"/><Relationship Id="rId342" Target="media/image342.png" Type="http://schemas.openxmlformats.org/officeDocument/2006/relationships/image"/><Relationship Id="rId343" Target="media/image343.png" Type="http://schemas.openxmlformats.org/officeDocument/2006/relationships/image"/><Relationship Id="rId344" Target="media/image344.png" Type="http://schemas.openxmlformats.org/officeDocument/2006/relationships/image"/><Relationship Id="rId345" Target="media/image345.png" Type="http://schemas.openxmlformats.org/officeDocument/2006/relationships/image"/><Relationship Id="rId346" Target="media/image346.png" Type="http://schemas.openxmlformats.org/officeDocument/2006/relationships/image"/><Relationship Id="rId347" Target="media/image347.png" Type="http://schemas.openxmlformats.org/officeDocument/2006/relationships/image"/><Relationship Id="rId348" Target="media/image348.png" Type="http://schemas.openxmlformats.org/officeDocument/2006/relationships/image"/><Relationship Id="rId349" Target="media/image349.png" Type="http://schemas.openxmlformats.org/officeDocument/2006/relationships/image"/><Relationship Id="rId35" Target="media/image35.png" Type="http://schemas.openxmlformats.org/officeDocument/2006/relationships/image"/><Relationship Id="rId350" Target="media/image350.png" Type="http://schemas.openxmlformats.org/officeDocument/2006/relationships/image"/><Relationship Id="rId351" Target="media/image351.png" Type="http://schemas.openxmlformats.org/officeDocument/2006/relationships/image"/><Relationship Id="rId352" Target="media/image352.png" Type="http://schemas.openxmlformats.org/officeDocument/2006/relationships/image"/><Relationship Id="rId353" Target="media/image353.png" Type="http://schemas.openxmlformats.org/officeDocument/2006/relationships/image"/><Relationship Id="rId354" Target="media/image354.png" Type="http://schemas.openxmlformats.org/officeDocument/2006/relationships/image"/><Relationship Id="rId355" Target="media/image355.png" Type="http://schemas.openxmlformats.org/officeDocument/2006/relationships/image"/><Relationship Id="rId356" Target="media/image356.png" Type="http://schemas.openxmlformats.org/officeDocument/2006/relationships/image"/><Relationship Id="rId357" Target="media/image357.png" Type="http://schemas.openxmlformats.org/officeDocument/2006/relationships/image"/><Relationship Id="rId358" Target="media/image358.png" Type="http://schemas.openxmlformats.org/officeDocument/2006/relationships/image"/><Relationship Id="rId359" Target="media/image359.png" Type="http://schemas.openxmlformats.org/officeDocument/2006/relationships/image"/><Relationship Id="rId36" Target="media/image36.png" Type="http://schemas.openxmlformats.org/officeDocument/2006/relationships/image"/><Relationship Id="rId360" Target="media/image360.png" Type="http://schemas.openxmlformats.org/officeDocument/2006/relationships/image"/><Relationship Id="rId361" Target="media/image361.png" Type="http://schemas.openxmlformats.org/officeDocument/2006/relationships/image"/><Relationship Id="rId362" Target="media/image362.png" Type="http://schemas.openxmlformats.org/officeDocument/2006/relationships/image"/><Relationship Id="rId363" Target="media/image363.png" Type="http://schemas.openxmlformats.org/officeDocument/2006/relationships/image"/><Relationship Id="rId364" Target="media/image364.png" Type="http://schemas.openxmlformats.org/officeDocument/2006/relationships/image"/><Relationship Id="rId365" Target="media/image365.png" Type="http://schemas.openxmlformats.org/officeDocument/2006/relationships/image"/><Relationship Id="rId366" Target="media/image366.png" Type="http://schemas.openxmlformats.org/officeDocument/2006/relationships/image"/><Relationship Id="rId367" Target="media/image367.png" Type="http://schemas.openxmlformats.org/officeDocument/2006/relationships/image"/><Relationship Id="rId368" Target="media/image368.jpeg" Type="http://schemas.openxmlformats.org/officeDocument/2006/relationships/image"/><Relationship Id="rId369" Target="styles.xml" Type="http://schemas.openxmlformats.org/officeDocument/2006/relationships/styles"/><Relationship Id="rId37" Target="media/image37.png" Type="http://schemas.openxmlformats.org/officeDocument/2006/relationships/image"/><Relationship Id="rId370" Target="fontTable.xml" Type="http://schemas.openxmlformats.org/officeDocument/2006/relationships/fontTable"/><Relationship Id="rId371" Target="settings.xml" Type="http://schemas.openxmlformats.org/officeDocument/2006/relationships/settings"/><Relationship Id="rId372" Target="webSettings.xml" Type="http://schemas.openxmlformats.org/officeDocument/2006/relationships/webSettings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jpe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5</Pages>
  <Words>3171</Words>
  <Characters>17407</Characters>
  <Application>e-iceblue</Application>
  <DocSecurity>0</DocSecurity>
  <Lines>395</Lines>
  <Paragraphs>395</Paragraphs>
  <ScaleCrop>false</ScaleCrop>
  <Company>e-iceblue</Company>
  <LinksUpToDate>false</LinksUpToDate>
  <CharactersWithSpaces>20540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2024-01-11T23:15:46Z</dcterms:created>
  <dc:creator>root</dc:creator>
  <cp:lastModifiedBy>root</cp:lastModifiedBy>
  <dcterms:modified xsi:type="dcterms:W3CDTF">2024-01-11T23:15:46Z</dcterms:modified>
  <cp:revision>1</cp:revision>
</cp:coreProperties>
</file>