
<file path=[Content_Types].xml><?xml version="1.0" encoding="utf-8"?>
<Types xmlns="http://schemas.openxmlformats.org/package/2006/content-types">
  <Default ContentType="application/vnd.openxmlformats-officedocument.obfuscatedFont" Extension="odttf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pPr>
        <w:pStyle w:val="Normal"/>
        <w:framePr w:x="0" w:y="1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Arial" w:hAnsi="Arial" w:fareast="Arial" w:cs="Arial"/>
          <w:color w:val="ff0000"/>
          <w:sz w:val="20"/>
          <w:szCs w:val="20"/>
        </w:rPr>
      </w:pPr>
      <w:r>
        <w:rPr>
          <w:rFonts w:ascii="Arial" w:hAnsi="Arial" w:fareast="Arial" w:cs="Arial"/>
          <w:color w:val="ff0000"/>
          <w:sz w:val="20"/>
          <w:szCs w:val="20"/>
        </w:rPr>
        <w:t xml:space="preserve"> </w:t>
      </w:r>
    </w:p>
    <w:p>
      <w:pPr>
        <w:pStyle w:val="Normal"/>
        <w:framePr w:w="435" w:hAnchor="page" w:vAnchor="page" w:x="276" w:y="10971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DejaVuSans" w:hAnsi="DejaVuSans" w:fareast="DejaVuSans" w:cs="DejaVuSans"/>
          <w:color w:val="000000"/>
          <w:w w:val="100"/>
          <w:sz w:val="19"/>
          <w:szCs w:val="19"/>
        </w:rPr>
      </w:pPr>
      <w:r>
        <w:rPr>
          <w:rFonts w:ascii="DejaVuSans" w:hAnsi="DejaVuSans" w:fareast="DejaVuSans" w:cs="DejaVuSans"/>
          <w:color w:val="000000"/>
          <w:w w:val="100"/>
          <w:sz w:val="19"/>
          <w:szCs w:val="19"/>
        </w:rPr>
        <w:t>☐</w:t>
      </w:r>
    </w:p>
    <w:p>
      <w:pPr>
        <w:pStyle w:val="Normal"/>
        <w:framePr w:w="9721" w:hAnchor="page" w:vAnchor="page" w:x="739" w:y="1097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Fee computed on table in exhibit required by Item 25(b) per Exchange Act Rules 14a-6(i)(1) and 0-11.</w:t>
      </w:r>
    </w:p>
    <w:p>
      <w:pPr>
        <w:pStyle w:val="Normal"/>
        <w:framePr w:w="435" w:hAnchor="page" w:vAnchor="page" w:x="276" w:y="10479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DejaVuSans" w:hAnsi="DejaVuSans" w:fareast="DejaVuSans" w:cs="DejaVuSans"/>
          <w:color w:val="000000"/>
          <w:w w:val="100"/>
          <w:sz w:val="19"/>
          <w:szCs w:val="19"/>
        </w:rPr>
      </w:pPr>
      <w:r>
        <w:rPr>
          <w:rFonts w:ascii="DejaVuSans" w:hAnsi="DejaVuSans" w:fareast="DejaVuSans" w:cs="DejaVuSans"/>
          <w:color w:val="000000"/>
          <w:w w:val="100"/>
          <w:sz w:val="19"/>
          <w:szCs w:val="19"/>
        </w:rPr>
        <w:t>☐</w:t>
      </w:r>
    </w:p>
    <w:p>
      <w:pPr>
        <w:pStyle w:val="Normal"/>
        <w:framePr w:w="4623" w:hAnchor="page" w:vAnchor="page" w:x="739" w:y="1048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Fee paid previously with preliminary materials.</w:t>
      </w:r>
    </w:p>
    <w:p>
      <w:pPr>
        <w:pStyle w:val="Normal"/>
        <w:framePr w:w="435" w:hAnchor="page" w:vAnchor="page" w:x="276" w:y="9987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DejaVuSans" w:hAnsi="DejaVuSans" w:fareast="DejaVuSans" w:cs="DejaVuSans"/>
          <w:color w:val="000000"/>
          <w:w w:val="100"/>
          <w:sz w:val="19"/>
          <w:szCs w:val="19"/>
        </w:rPr>
      </w:pPr>
      <w:r>
        <w:rPr>
          <w:rFonts w:ascii="DejaVuSans" w:hAnsi="DejaVuSans" w:fareast="DejaVuSans" w:cs="DejaVuSans"/>
          <w:color w:val="000000"/>
          <w:w w:val="100"/>
          <w:sz w:val="19"/>
          <w:szCs w:val="19"/>
        </w:rPr>
        <w:t>☒</w:t>
      </w:r>
    </w:p>
    <w:p>
      <w:pPr>
        <w:pStyle w:val="Normal"/>
        <w:framePr w:w="1738" w:hAnchor="page" w:vAnchor="page" w:x="739" w:y="999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No fee required.</w:t>
      </w:r>
    </w:p>
    <w:p>
      <w:pPr>
        <w:pStyle w:val="Normal"/>
        <w:framePr w:w="5015" w:hAnchor="page" w:vAnchor="page" w:x="276" w:y="950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Payment of Filing Fee (Check the appropriate box):</w:t>
      </w:r>
    </w:p>
    <w:p>
      <w:pPr>
        <w:pStyle w:val="Normal"/>
        <w:framePr w:w="7350" w:hAnchor="page" w:vAnchor="page" w:x="3211" w:y="904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(Name of Person(s) Filing Proxy Statement, if other than the Registrant)</w:t>
      </w:r>
    </w:p>
    <w:p>
      <w:pPr>
        <w:pStyle w:val="Normal"/>
        <w:framePr w:w="4951" w:hAnchor="page" w:vAnchor="page" w:x="4210" w:y="857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(Name of Registrant as Specified in Its Charter)</w:t>
      </w:r>
    </w:p>
    <w:p>
      <w:pPr>
        <w:pStyle w:val="Normal"/>
        <w:framePr w:w="5131" w:hAnchor="page" w:vAnchor="page" w:x="4076" w:y="8047"/>
        <w:widowControl w:val="off"/>
        <w:autoSpaceDE w:val="off"/>
        <w:autoSpaceDN w:val="off"/>
        <w:spacing w:before="0" w:after="0" w:line="513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46"/>
          <w:szCs w:val="4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46"/>
          <w:szCs w:val="46"/>
        </w:rPr>
        <w:t>TECHNIPFMC PLC</w:t>
      </w:r>
    </w:p>
    <w:p>
      <w:pPr>
        <w:pStyle w:val="Normal"/>
        <w:framePr w:w="435" w:hAnchor="page" w:vAnchor="page" w:x="276" w:y="7571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DejaVuSans" w:hAnsi="DejaVuSans" w:fareast="DejaVuSans" w:cs="DejaVuSans"/>
          <w:color w:val="000000"/>
          <w:w w:val="100"/>
          <w:sz w:val="19"/>
          <w:szCs w:val="19"/>
        </w:rPr>
      </w:pPr>
      <w:r>
        <w:rPr>
          <w:rFonts w:ascii="DejaVuSans" w:hAnsi="DejaVuSans" w:fareast="DejaVuSans" w:cs="DejaVuSans"/>
          <w:color w:val="000000"/>
          <w:w w:val="100"/>
          <w:sz w:val="19"/>
          <w:szCs w:val="19"/>
        </w:rPr>
        <w:t>☐</w:t>
      </w:r>
    </w:p>
    <w:p>
      <w:pPr>
        <w:pStyle w:val="Normal"/>
        <w:framePr w:w="4270" w:hAnchor="page" w:vAnchor="page" w:x="739" w:y="757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Soliciting Material Pursuant to Rule 14a-12</w:t>
      </w:r>
    </w:p>
    <w:p>
      <w:pPr>
        <w:pStyle w:val="Normal"/>
        <w:framePr w:w="435" w:hAnchor="page" w:vAnchor="page" w:x="276" w:y="7080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DejaVuSans" w:hAnsi="DejaVuSans" w:fareast="DejaVuSans" w:cs="DejaVuSans"/>
          <w:color w:val="000000"/>
          <w:w w:val="100"/>
          <w:sz w:val="19"/>
          <w:szCs w:val="19"/>
        </w:rPr>
      </w:pPr>
      <w:r>
        <w:rPr>
          <w:rFonts w:ascii="DejaVuSans" w:hAnsi="DejaVuSans" w:fareast="DejaVuSans" w:cs="DejaVuSans"/>
          <w:color w:val="000000"/>
          <w:w w:val="100"/>
          <w:sz w:val="19"/>
          <w:szCs w:val="19"/>
        </w:rPr>
        <w:t>☒</w:t>
      </w:r>
    </w:p>
    <w:p>
      <w:pPr>
        <w:pStyle w:val="Normal"/>
        <w:framePr w:w="3145" w:hAnchor="page" w:vAnchor="page" w:x="739" w:y="708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Definitive Additional Materials</w:t>
      </w:r>
    </w:p>
    <w:p>
      <w:pPr>
        <w:pStyle w:val="Normal"/>
        <w:framePr w:w="435" w:hAnchor="page" w:vAnchor="page" w:x="276" w:y="6588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DejaVuSans" w:hAnsi="DejaVuSans" w:fareast="DejaVuSans" w:cs="DejaVuSans"/>
          <w:color w:val="000000"/>
          <w:w w:val="100"/>
          <w:sz w:val="19"/>
          <w:szCs w:val="19"/>
        </w:rPr>
      </w:pPr>
      <w:r>
        <w:rPr>
          <w:rFonts w:ascii="DejaVuSans" w:hAnsi="DejaVuSans" w:fareast="DejaVuSans" w:cs="DejaVuSans"/>
          <w:color w:val="000000"/>
          <w:w w:val="100"/>
          <w:sz w:val="19"/>
          <w:szCs w:val="19"/>
        </w:rPr>
        <w:t>☐</w:t>
      </w:r>
    </w:p>
    <w:p>
      <w:pPr>
        <w:pStyle w:val="Normal"/>
        <w:framePr w:w="2760" w:hAnchor="page" w:vAnchor="page" w:x="739" w:y="659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Definitive Proxy Statement</w:t>
      </w:r>
    </w:p>
    <w:p>
      <w:pPr>
        <w:pStyle w:val="Normal"/>
        <w:framePr w:w="435" w:hAnchor="page" w:vAnchor="page" w:x="276" w:y="6096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DejaVuSans" w:hAnsi="DejaVuSans" w:fareast="DejaVuSans" w:cs="DejaVuSans"/>
          <w:color w:val="000000"/>
          <w:w w:val="100"/>
          <w:sz w:val="19"/>
          <w:szCs w:val="19"/>
        </w:rPr>
      </w:pPr>
      <w:r>
        <w:rPr>
          <w:rFonts w:ascii="DejaVuSans" w:hAnsi="DejaVuSans" w:fareast="DejaVuSans" w:cs="DejaVuSans"/>
          <w:color w:val="000000"/>
          <w:w w:val="100"/>
          <w:sz w:val="19"/>
          <w:szCs w:val="19"/>
        </w:rPr>
        <w:t>☐</w:t>
      </w:r>
    </w:p>
    <w:p>
      <w:pPr>
        <w:pStyle w:val="Normal"/>
        <w:framePr w:w="8132" w:hAnchor="page" w:vAnchor="page" w:x="739" w:y="610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Confidential, for Use of the Commission Only (as permitted by Rule 14a-6(e)(2))</w:t>
      </w:r>
    </w:p>
    <w:p>
      <w:pPr>
        <w:pStyle w:val="Normal"/>
        <w:framePr w:w="435" w:hAnchor="page" w:vAnchor="page" w:x="276" w:y="5604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DejaVuSans" w:hAnsi="DejaVuSans" w:fareast="DejaVuSans" w:cs="DejaVuSans"/>
          <w:color w:val="000000"/>
          <w:w w:val="100"/>
          <w:sz w:val="19"/>
          <w:szCs w:val="19"/>
        </w:rPr>
      </w:pPr>
      <w:r>
        <w:rPr>
          <w:rFonts w:ascii="DejaVuSans" w:hAnsi="DejaVuSans" w:fareast="DejaVuSans" w:cs="DejaVuSans"/>
          <w:color w:val="000000"/>
          <w:w w:val="100"/>
          <w:sz w:val="19"/>
          <w:szCs w:val="19"/>
        </w:rPr>
        <w:t>☐</w:t>
      </w:r>
    </w:p>
    <w:p>
      <w:pPr>
        <w:pStyle w:val="Normal"/>
        <w:framePr w:w="2914" w:hAnchor="page" w:vAnchor="page" w:x="739" w:y="561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Preliminary Proxy Statement</w:t>
      </w:r>
    </w:p>
    <w:p>
      <w:pPr>
        <w:pStyle w:val="Normal"/>
        <w:framePr w:w="2740" w:hAnchor="page" w:vAnchor="page" w:x="276" w:y="511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Check the appropriate box:</w:t>
      </w:r>
    </w:p>
    <w:p>
      <w:pPr>
        <w:pStyle w:val="Normal"/>
        <w:framePr w:w="4361" w:hAnchor="page" w:vAnchor="page" w:x="276" w:y="4418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DejaVuSans" w:hAnsi="DejaVuSans" w:fareast="DejaVuSans" w:cs="DejaVuSans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Filed by a Party other than the Registrant  </w:t>
      </w:r>
      <w:r>
        <w:rPr>
          <w:rFonts w:ascii="DejaVuSans" w:hAnsi="DejaVuSans" w:fareast="DejaVuSans" w:cs="DejaVuSans"/>
          <w:color w:val="000000"/>
          <w:w w:val="100"/>
          <w:sz w:val="19"/>
          <w:szCs w:val="19"/>
        </w:rPr>
        <w:t>☐</w:t>
      </w:r>
    </w:p>
    <w:p>
      <w:pPr>
        <w:pStyle w:val="Normal"/>
        <w:framePr w:w="2665" w:hAnchor="page" w:vAnchor="page" w:x="276" w:y="3955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DejaVuSans" w:hAnsi="DejaVuSans" w:fareast="DejaVuSans" w:cs="DejaVuSans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Filed by the Registrant  </w:t>
      </w:r>
      <w:r>
        <w:rPr>
          <w:rFonts w:ascii="DejaVuSans" w:hAnsi="DejaVuSans" w:fareast="DejaVuSans" w:cs="DejaVuSans"/>
          <w:color w:val="000000"/>
          <w:w w:val="100"/>
          <w:sz w:val="19"/>
          <w:szCs w:val="19"/>
        </w:rPr>
        <w:t>☒</w:t>
      </w:r>
    </w:p>
    <w:p>
      <w:pPr>
        <w:pStyle w:val="Normal"/>
        <w:framePr w:w="2522" w:hAnchor="page" w:vAnchor="page" w:x="5146" w:y="3074"/>
        <w:widowControl w:val="off"/>
        <w:autoSpaceDE w:val="off"/>
        <w:autoSpaceDN w:val="off"/>
        <w:spacing w:before="0" w:after="0" w:line="25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3"/>
          <w:szCs w:val="23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3"/>
          <w:szCs w:val="23"/>
        </w:rPr>
        <w:t>(Amendment No.     )</w:t>
      </w:r>
    </w:p>
    <w:p>
      <w:pPr>
        <w:pStyle w:val="Normal"/>
        <w:framePr w:w="3732" w:hAnchor="page" w:vAnchor="page" w:x="4597" w:y="2814"/>
        <w:widowControl w:val="off"/>
        <w:autoSpaceDE w:val="off"/>
        <w:autoSpaceDN w:val="off"/>
        <w:spacing w:before="0" w:after="0" w:line="25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3"/>
          <w:szCs w:val="23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3"/>
          <w:szCs w:val="23"/>
        </w:rPr>
        <w:t>Securities Exchange Act of 1934</w:t>
      </w:r>
    </w:p>
    <w:p>
      <w:pPr>
        <w:pStyle w:val="Normal"/>
        <w:framePr w:w="5557" w:hAnchor="page" w:vAnchor="page" w:x="3766" w:y="2553"/>
        <w:widowControl w:val="off"/>
        <w:autoSpaceDE w:val="off"/>
        <w:autoSpaceDN w:val="off"/>
        <w:spacing w:before="0" w:after="0" w:line="25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3"/>
          <w:szCs w:val="23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3"/>
          <w:szCs w:val="23"/>
        </w:rPr>
        <w:t>Proxy Statement Pursuant to Section 14(a) of the</w:t>
      </w:r>
    </w:p>
    <w:p>
      <w:pPr>
        <w:pStyle w:val="Normal"/>
        <w:framePr w:w="3239" w:hAnchor="page" w:vAnchor="page" w:x="4880" w:y="2161"/>
        <w:widowControl w:val="off"/>
        <w:autoSpaceDE w:val="off"/>
        <w:autoSpaceDN w:val="off"/>
        <w:spacing w:before="0" w:after="0" w:line="38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35"/>
          <w:szCs w:val="35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35"/>
          <w:szCs w:val="35"/>
        </w:rPr>
        <w:t>SCHEDULE 14A</w:t>
      </w:r>
    </w:p>
    <w:p>
      <w:pPr>
        <w:pStyle w:val="Normal"/>
        <w:framePr w:w="2877" w:hAnchor="page" w:vAnchor="page" w:x="4985" w:y="1266"/>
        <w:widowControl w:val="off"/>
        <w:autoSpaceDE w:val="off"/>
        <w:autoSpaceDN w:val="off"/>
        <w:spacing w:before="0" w:after="0" w:line="25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3"/>
          <w:szCs w:val="23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3"/>
          <w:szCs w:val="23"/>
        </w:rPr>
        <w:t>Washington, D.C. 20549</w:t>
      </w:r>
    </w:p>
    <w:p>
      <w:pPr>
        <w:pStyle w:val="Normal"/>
        <w:framePr w:w="8608" w:hAnchor="page" w:vAnchor="page" w:x="2440" w:y="873"/>
        <w:widowControl w:val="off"/>
        <w:autoSpaceDE w:val="off"/>
        <w:autoSpaceDN w:val="off"/>
        <w:spacing w:before="0" w:after="0" w:line="38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35"/>
          <w:szCs w:val="35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35"/>
          <w:szCs w:val="35"/>
        </w:rPr>
        <w:t>SECURITIES AND EXCHANGE COMMISSION</w:t>
      </w:r>
    </w:p>
    <w:p>
      <w:pPr>
        <w:pStyle w:val="Normal"/>
        <w:framePr w:w="3374" w:hAnchor="page" w:vAnchor="page" w:x="4819" w:y="483"/>
        <w:widowControl w:val="off"/>
        <w:autoSpaceDE w:val="off"/>
        <w:autoSpaceDN w:val="off"/>
        <w:spacing w:before="0" w:after="0" w:line="38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35"/>
          <w:szCs w:val="35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35"/>
          <w:szCs w:val="35"/>
        </w:rPr>
        <w:t>UNITED STATES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1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0" style="position:absolute;margin-left:7pt;margin-top:1pt;z-index:-16777212;width:598pt;height:1005.9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" style="position:absolute;margin-left:12.8pt;margin-top:7.5pt;z-index:-16777208;width:592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" style="position:absolute;margin-left:12.8pt;margin-top:11.15pt;z-index:-16777204;width:592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" style="position:absolute;margin-left:245.7pt;margin-top:95.05pt;z-index:-16777200;width:126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" style="position:absolute;margin-left:245.7pt;margin-top:184.7pt;z-index:-16777196;width:126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" style="position:absolute;margin-left:12.8pt;margin-top:573.15pt;z-index:-16777192;width:592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" style="position:absolute;margin-left:12.8pt;margin-top:576.75pt;z-index:-16777188;width:592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" o:title=""/>
          </v:shape>
        </w:pict>
      </w:r>
    </w:p>
    <w:p>
      <w:pPr>
        <w:pStyle w:val="Normal"/>
        <w:framePr w:w="7143" w:hAnchor="page" w:vAnchor="page" w:x="1317" w:y="1375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for our other executive officers by 20% from May 2020 – December 2020.</w:t>
      </w:r>
    </w:p>
    <w:p>
      <w:pPr>
        <w:pStyle w:val="Normal"/>
        <w:framePr w:w="13015" w:hAnchor="page" w:vAnchor="page" w:x="1317" w:y="1352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to the COVID-19 pandemic and energy market decline, the Committee reduced the annual base salary for our Chair and CEO by 30% and</w:t>
      </w:r>
    </w:p>
    <w:p>
      <w:pPr>
        <w:pStyle w:val="Normal"/>
        <w:framePr w:w="309" w:hAnchor="page" w:vAnchor="page" w:x="854" w:y="1329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•</w:t>
      </w:r>
    </w:p>
    <w:p>
      <w:pPr>
        <w:pStyle w:val="Normal"/>
        <w:framePr w:w="13069" w:hAnchor="page" w:vAnchor="page" w:x="1317" w:y="1329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The Compensation and Talent Committee has demonstrated a history of responding swiftly and decisively to market changes. In 2020, due</w:t>
      </w:r>
    </w:p>
    <w:p>
      <w:pPr>
        <w:pStyle w:val="Normal"/>
        <w:framePr w:w="12876" w:hAnchor="page" w:vAnchor="page" w:x="1317" w:y="1293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December 31, 2021 and LTI granted to TechnipFMC executives between 2019 and 2021 is worth 37% less than the original target value.</w:t>
      </w:r>
    </w:p>
    <w:p>
      <w:pPr>
        <w:pStyle w:val="Normal"/>
        <w:framePr w:w="309" w:hAnchor="page" w:vAnchor="page" w:x="854" w:y="1270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•</w:t>
      </w:r>
    </w:p>
    <w:p>
      <w:pPr>
        <w:pStyle w:val="Normal"/>
        <w:framePr w:w="12230" w:hAnchor="page" w:vAnchor="page" w:x="1317" w:y="1270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Declines in stock price have a direct impact on the value of long-term incentives. TSR is down 56% between January 1, 2019 and</w:t>
      </w:r>
    </w:p>
    <w:p>
      <w:pPr>
        <w:pStyle w:val="Normal"/>
        <w:framePr w:w="11380" w:hAnchor="page" w:vAnchor="page" w:x="1317" w:y="1233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projected to be approximately $3.2 million less than target compensation (or 24% below target) between 2019 and 2021.</w:t>
      </w:r>
    </w:p>
    <w:p>
      <w:pPr>
        <w:pStyle w:val="Normal"/>
        <w:framePr w:w="12742" w:hAnchor="page" w:vAnchor="page" w:x="1317" w:y="1210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over the past several years, which directly impacted executive compensation. The CEO’s three-year average realizable compensation is</w:t>
      </w:r>
    </w:p>
    <w:p>
      <w:pPr>
        <w:pStyle w:val="Normal"/>
        <w:framePr w:w="309" w:hAnchor="page" w:vAnchor="page" w:x="854" w:y="1187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•</w:t>
      </w:r>
    </w:p>
    <w:p>
      <w:pPr>
        <w:pStyle w:val="Normal"/>
        <w:framePr w:w="13020" w:hAnchor="page" w:vAnchor="page" w:x="1317" w:y="1187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The industry downturn due to the COVID-19 pandemic had a meaningful impact on the Company’s financial and stock price performance</w:t>
      </w:r>
    </w:p>
    <w:p>
      <w:pPr>
        <w:pStyle w:val="Normal"/>
        <w:framePr w:w="2926" w:hAnchor="page" w:vAnchor="page" w:x="1317" w:y="1151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peers and market prevalence.</w:t>
      </w:r>
    </w:p>
    <w:p>
      <w:pPr>
        <w:pStyle w:val="Normal"/>
        <w:framePr w:w="309" w:hAnchor="page" w:vAnchor="page" w:x="854" w:y="1128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•</w:t>
      </w:r>
    </w:p>
    <w:p>
      <w:pPr>
        <w:pStyle w:val="Normal"/>
        <w:framePr w:w="12929" w:hAnchor="page" w:vAnchor="page" w:x="1317" w:y="1128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70% of our long-term incentive is performance based, which represents a higher weighting of performance-based equity compared to our</w:t>
      </w:r>
    </w:p>
    <w:p>
      <w:pPr>
        <w:pStyle w:val="Normal"/>
        <w:framePr w:w="3523" w:hAnchor="page" w:vAnchor="page" w:x="1317" w:y="1092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variable and based on performance.</w:t>
      </w:r>
    </w:p>
    <w:p>
      <w:pPr>
        <w:pStyle w:val="Normal"/>
        <w:framePr w:w="309" w:hAnchor="page" w:vAnchor="page" w:x="854" w:y="1068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•</w:t>
      </w:r>
    </w:p>
    <w:p>
      <w:pPr>
        <w:pStyle w:val="Normal"/>
        <w:framePr w:w="13098" w:hAnchor="page" w:vAnchor="page" w:x="1317" w:y="1068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Most of our executive compensation is variable. For 2021, 90% of the CEO’s compensation and 79% of compensation for other NEOs was</w:t>
      </w:r>
    </w:p>
    <w:p>
      <w:pPr>
        <w:pStyle w:val="Normal"/>
        <w:framePr w:w="6145" w:hAnchor="page" w:vAnchor="page" w:x="276" w:y="1032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Our executive compensation program links pay to performance:</w:t>
      </w:r>
    </w:p>
    <w:p>
      <w:pPr>
        <w:pStyle w:val="Normal"/>
        <w:framePr w:w="3543" w:hAnchor="page" w:vAnchor="page" w:x="276" w:y="998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Alignment of Pay to Performance</w:t>
      </w:r>
    </w:p>
    <w:p>
      <w:pPr>
        <w:pStyle w:val="Normal"/>
        <w:framePr w:w="6800" w:hAnchor="page" w:vAnchor="page" w:x="276" w:y="940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between pay and performance in our executive compensation program.</w:t>
      </w:r>
    </w:p>
    <w:p>
      <w:pPr>
        <w:pStyle w:val="Normal"/>
        <w:framePr w:w="14209" w:hAnchor="page" w:vAnchor="page" w:x="276" w:y="917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We would like to provide shareholders with further context on the concerns raised by ISS and reiterate key actions we have taken to strengthen the link</w:t>
      </w:r>
    </w:p>
    <w:p>
      <w:pPr>
        <w:pStyle w:val="Normal"/>
        <w:framePr w:w="5566" w:hAnchor="page" w:vAnchor="page" w:x="1317" w:y="870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2022 by a change to the performance award payout scale)</w:t>
      </w:r>
    </w:p>
    <w:p>
      <w:pPr>
        <w:pStyle w:val="Normal"/>
        <w:framePr w:w="309" w:hAnchor="page" w:vAnchor="page" w:x="854" w:y="847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•</w:t>
      </w:r>
    </w:p>
    <w:p>
      <w:pPr>
        <w:pStyle w:val="Normal"/>
        <w:framePr w:w="12841" w:hAnchor="page" w:vAnchor="page" w:x="1317" w:y="847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Performance awards may vest at target for achieving below median relative TSR performance. (Note: this concern has been mitigated in</w:t>
      </w:r>
    </w:p>
    <w:p>
      <w:pPr>
        <w:pStyle w:val="Normal"/>
        <w:framePr w:w="309" w:hAnchor="page" w:vAnchor="page" w:x="854" w:y="811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•</w:t>
      </w:r>
    </w:p>
    <w:p>
      <w:pPr>
        <w:pStyle w:val="Normal"/>
        <w:framePr w:w="12810" w:hAnchor="page" w:vAnchor="page" w:x="1317" w:y="811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The company removed performance conditions for outstanding 2019 and 2020 performance awards in connection with the spin-off; and</w:t>
      </w:r>
    </w:p>
    <w:p>
      <w:pPr>
        <w:pStyle w:val="Normal"/>
        <w:framePr w:w="6049" w:hAnchor="page" w:vAnchor="page" w:x="276" w:y="775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recommendation was based on concerns on two specific items:</w:t>
      </w:r>
    </w:p>
    <w:p>
      <w:pPr>
        <w:pStyle w:val="Normal"/>
        <w:framePr w:w="14128" w:hAnchor="page" w:vAnchor="page" w:x="276" w:y="752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TechnipFMC’s short- and long-term incentive programs are primarily performance based, and noted the positive features of our program, the ISS vote</w:t>
      </w:r>
    </w:p>
    <w:p>
      <w:pPr>
        <w:pStyle w:val="Normal"/>
        <w:framePr w:w="13054" w:hAnchor="page" w:vAnchor="page" w:x="276" w:y="728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In contrast, Institutional Shareholder Services (ISS), recommended an AGAINST vote on Proposal 2 and Proposal 3. While ISS noted that</w:t>
      </w:r>
    </w:p>
    <w:p>
      <w:pPr>
        <w:pStyle w:val="Normal"/>
        <w:framePr w:w="7899" w:hAnchor="page" w:vAnchor="page" w:x="276" w:y="682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plan design. For these reasons, Glass Lewis recommended a FOR say-on-pay vote.</w:t>
      </w:r>
    </w:p>
    <w:p>
      <w:pPr>
        <w:pStyle w:val="Normal"/>
        <w:framePr w:w="14210" w:hAnchor="page" w:vAnchor="page" w:x="276" w:y="659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year in review. Glass Lewis also noted a suitable structure of performance-based awards, include the changes for 2022 in our long-term incentive (LTI)</w:t>
      </w:r>
    </w:p>
    <w:p>
      <w:pPr>
        <w:pStyle w:val="Normal"/>
        <w:framePr w:w="13980" w:hAnchor="page" w:vAnchor="page" w:x="276" w:y="636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Glass Lewis recognized the significant period of change during 2021 and impact of the Company’s recent spin-off on compensation plans during the</w:t>
      </w:r>
    </w:p>
    <w:p>
      <w:pPr>
        <w:pStyle w:val="Normal"/>
        <w:framePr w:w="8096" w:hAnchor="page" w:vAnchor="page" w:x="276" w:y="590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global economic uncertainty, the oil and gas downturn and the COVID-19 pandemic.</w:t>
      </w:r>
    </w:p>
    <w:p>
      <w:pPr>
        <w:pStyle w:val="Normal"/>
        <w:framePr w:w="14277" w:hAnchor="page" w:vAnchor="page" w:x="276" w:y="566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2021 represented a year of significant structural change for TechnipFMC with the completion of the spin-off of Technip Energies, against a backdrop of</w:t>
      </w:r>
    </w:p>
    <w:p>
      <w:pPr>
        <w:pStyle w:val="Normal"/>
        <w:framePr w:w="7026" w:hAnchor="page" w:vAnchor="page" w:x="276" w:y="520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FOR of votes cast in the past two years: 84.6% (2021) and 85.8% (2020).</w:t>
      </w:r>
    </w:p>
    <w:p>
      <w:pPr>
        <w:pStyle w:val="Normal"/>
        <w:framePr w:w="13969" w:hAnchor="page" w:vAnchor="page" w:x="276" w:y="497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related proposals. Shareholders have also been supportive of TechnipFMC’s compensation. Most recently, TechnipFMC received an average of 85%</w:t>
      </w:r>
    </w:p>
    <w:p>
      <w:pPr>
        <w:pStyle w:val="Normal"/>
        <w:framePr w:w="14360" w:hAnchor="page" w:vAnchor="page" w:x="276" w:y="474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Shareholder Services Inc. (ISS) have been supportive of TechnipFMC’s compensation practices, recommending a FOR vote each year on compensation-</w:t>
      </w:r>
    </w:p>
    <w:p>
      <w:pPr>
        <w:pStyle w:val="Normal"/>
        <w:framePr w:w="13694" w:hAnchor="page" w:vAnchor="page" w:x="276" w:y="451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Since the merger of FMC Technologies and Technip in 2017, the leading proxy advisory firms Glass, Lewis &amp; Co (Glass Lewis) and Institutional</w:t>
      </w:r>
    </w:p>
    <w:p>
      <w:pPr>
        <w:pStyle w:val="Normal"/>
        <w:framePr w:w="2686" w:hAnchor="page" w:vAnchor="page" w:x="276" w:y="416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Background information</w:t>
      </w:r>
    </w:p>
    <w:p>
      <w:pPr>
        <w:pStyle w:val="Normal"/>
        <w:framePr w:w="3381" w:hAnchor="page" w:vAnchor="page" w:x="276" w:y="358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addition to the information below.</w:t>
      </w:r>
    </w:p>
    <w:p>
      <w:pPr>
        <w:pStyle w:val="Normal"/>
        <w:framePr w:w="14004" w:hAnchor="page" w:vAnchor="page" w:x="276" w:y="335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deciding how to vote on Proposal 2 and Proposal 3, we encourage you to consider and read the information disclosed in the 2022 Proxy Statement in</w:t>
      </w:r>
    </w:p>
    <w:p>
      <w:pPr>
        <w:pStyle w:val="Normal"/>
        <w:framePr w:w="13603" w:hAnchor="page" w:vAnchor="page" w:x="276" w:y="312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 copy of the 2022 Proxy Statement is available at https://www.technipfmc.com/en/investors/regulatory-filings/sec-filings/def-14a-4073449/. In</w:t>
      </w:r>
    </w:p>
    <w:p>
      <w:pPr>
        <w:pStyle w:val="Normal"/>
        <w:framePr w:w="309" w:hAnchor="page" w:vAnchor="page" w:x="854" w:y="266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•</w:t>
      </w:r>
    </w:p>
    <w:p>
      <w:pPr>
        <w:pStyle w:val="Normal"/>
        <w:framePr w:w="6658" w:hAnchor="page" w:vAnchor="page" w:x="1317" w:y="266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Proposal Number 3 – 2021 U.K. Directors’ Remuneration Report</w:t>
      </w:r>
    </w:p>
    <w:p>
      <w:pPr>
        <w:pStyle w:val="Normal"/>
        <w:framePr w:w="309" w:hAnchor="page" w:vAnchor="page" w:x="854" w:y="229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•</w:t>
      </w:r>
    </w:p>
    <w:p>
      <w:pPr>
        <w:pStyle w:val="Normal"/>
        <w:framePr w:w="7498" w:hAnchor="page" w:vAnchor="page" w:x="1317" w:y="229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Proposal Number 2 – 2021 U.S. Say-on-Pay for Named Executive Officers</w:t>
      </w:r>
    </w:p>
    <w:p>
      <w:pPr>
        <w:pStyle w:val="Normal"/>
        <w:framePr w:w="2111" w:hAnchor="page" w:vAnchor="page" w:x="276" w:y="193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FOR each of them:</w:t>
      </w:r>
    </w:p>
    <w:p>
      <w:pPr>
        <w:pStyle w:val="Normal"/>
        <w:framePr w:w="13888" w:hAnchor="page" w:vAnchor="page" w:x="276" w:y="170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In this communication, we are providing additional background and support regarding two specific proposals, and once again</w:t>
      </w: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 xml:space="preserve"> asking for your vote</w:t>
      </w:r>
    </w:p>
    <w:p>
      <w:pPr>
        <w:pStyle w:val="Normal"/>
        <w:framePr w:w="9227" w:hAnchor="page" w:vAnchor="page" w:x="276" w:y="124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TechnipFMC which was filed with the Securities and Exchange Commission on March 18, 2022.</w:t>
      </w:r>
    </w:p>
    <w:p>
      <w:pPr>
        <w:pStyle w:val="Normal"/>
        <w:framePr w:w="13477" w:hAnchor="page" w:vAnchor="page" w:x="276" w:y="101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We are writing to ask for your support in favor of all proposals in the Proxy Statement for the 2022 Annual General Meeting of shareholders of</w:t>
      </w:r>
    </w:p>
    <w:p>
      <w:pPr>
        <w:pStyle w:val="Normal"/>
        <w:framePr w:w="3206" w:hAnchor="page" w:vAnchor="page" w:x="276" w:y="54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Dear TechnipFMC Shareholder;</w:t>
      </w:r>
    </w:p>
    <w:p>
      <w:pPr>
        <w:pStyle w:val="Normal"/>
        <w:framePr w:w="1584" w:hAnchor="page" w:vAnchor="page" w:x="276" w:y="20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April 18, 2022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2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" style="position:absolute;margin-left:7pt;margin-top:1pt;z-index:-16777184;width:598pt;height:1005.9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" style="position:absolute;margin-left:12.8pt;margin-top:1pt;z-index:-16777180;width:58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" style="position:absolute;margin-left:12.8pt;margin-top:2.45pt;z-index:-16777176;width:58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" style="position:absolute;margin-left:597.95pt;margin-top:1pt;z-index:-16777172;width:2.7pt;height:4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" style="position:absolute;margin-left:12.8pt;margin-top:1pt;z-index:-16777168;width:2.7pt;height:4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" style="position:absolute;margin-left:211.45pt;margin-top:164.45pt;z-index:-16777164;width:347.8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" o:title=""/>
          </v:shape>
        </w:pict>
      </w:r>
    </w:p>
    <w:p>
      <w:pPr>
        <w:pStyle w:val="Normal"/>
        <w:framePr w:w="4421" w:hAnchor="page" w:vAnchor="page" w:x="276" w:y="1296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Chair—Compensation and Talent Committee</w:t>
      </w:r>
    </w:p>
    <w:p>
      <w:pPr>
        <w:pStyle w:val="Normal"/>
        <w:framePr w:w="1623" w:hAnchor="page" w:vAnchor="page" w:x="276" w:y="1272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John O’Leary</w:t>
      </w:r>
    </w:p>
    <w:p>
      <w:pPr>
        <w:pStyle w:val="Normal"/>
        <w:framePr w:w="1783" w:hAnchor="page" w:vAnchor="page" w:x="276" w:y="1246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/s/ John O’Leary</w:t>
      </w:r>
    </w:p>
    <w:p>
      <w:pPr>
        <w:pStyle w:val="Normal"/>
        <w:framePr w:w="2720" w:hAnchor="page" w:vAnchor="page" w:x="276" w:y="1200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Lead Independent Director</w:t>
      </w:r>
    </w:p>
    <w:p>
      <w:pPr>
        <w:pStyle w:val="Normal"/>
        <w:framePr w:w="1785" w:hAnchor="page" w:vAnchor="page" w:x="276" w:y="1177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Claire S. Farley</w:t>
      </w:r>
    </w:p>
    <w:p>
      <w:pPr>
        <w:pStyle w:val="Normal"/>
        <w:framePr w:w="1963" w:hAnchor="page" w:vAnchor="page" w:x="276" w:y="1151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/s/ Claire S. Farley</w:t>
      </w:r>
    </w:p>
    <w:p>
      <w:pPr>
        <w:pStyle w:val="Normal"/>
        <w:framePr w:w="1145" w:hAnchor="page" w:vAnchor="page" w:x="276" w:y="1102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Sincerely,</w:t>
      </w:r>
    </w:p>
    <w:p>
      <w:pPr>
        <w:pStyle w:val="Normal"/>
        <w:framePr w:w="3945" w:hAnchor="page" w:vAnchor="page" w:x="276" w:y="1055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TechnipFMC’s compensation programs.</w:t>
      </w:r>
    </w:p>
    <w:p>
      <w:pPr>
        <w:pStyle w:val="Normal"/>
        <w:framePr w:w="13208" w:hAnchor="page" w:vAnchor="page" w:x="276" w:y="1032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We thank you for your thoughtful consideration towards a FOR vote for all shareholder proposals look forward to your continued support of</w:t>
      </w:r>
    </w:p>
    <w:p>
      <w:pPr>
        <w:pStyle w:val="Normal"/>
        <w:framePr w:w="2194" w:hAnchor="page" w:vAnchor="page" w:x="276" w:y="986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shareholder interests.</w:t>
      </w:r>
    </w:p>
    <w:p>
      <w:pPr>
        <w:pStyle w:val="Normal"/>
        <w:framePr w:w="13848" w:hAnchor="page" w:vAnchor="page" w:x="276" w:y="963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and we have adopted best governance practices and made key changes to our program in 2022 to ensure alignment of executive compensation with</w:t>
      </w:r>
    </w:p>
    <w:p>
      <w:pPr>
        <w:pStyle w:val="Normal"/>
        <w:framePr w:w="14315" w:hAnchor="page" w:vAnchor="page" w:x="276" w:y="940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support our business and ensure we have management continuity post spin-off. Our executive program will continue to emphasize pay-for-performance,</w:t>
      </w:r>
    </w:p>
    <w:p>
      <w:pPr>
        <w:pStyle w:val="Normal"/>
        <w:framePr w:w="13756" w:hAnchor="page" w:vAnchor="page" w:x="276" w:y="917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During a period of economic uncertainty, energy transition and historic change for TechnipFMC, the Committee took one-time strategic actions to</w:t>
      </w:r>
    </w:p>
    <w:p>
      <w:pPr>
        <w:pStyle w:val="Normal"/>
        <w:framePr w:w="7611" w:hAnchor="page" w:vAnchor="page" w:x="276" w:y="882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Why we ask you for a vote FOR on say-on-pay (Proposal 2 and Proposal 3)</w:t>
      </w:r>
    </w:p>
    <w:p>
      <w:pPr>
        <w:pStyle w:val="Normal"/>
        <w:framePr w:w="1821" w:hAnchor="page" w:vAnchor="page" w:x="1317" w:y="824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our shareholders.</w:t>
      </w:r>
    </w:p>
    <w:p>
      <w:pPr>
        <w:pStyle w:val="Normal"/>
        <w:framePr w:w="12931" w:hAnchor="page" w:vAnchor="page" w:x="1317" w:y="801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clear alignment for our executive officers to long-term financial performance and shareholder value creation and is strongly supported by</w:t>
      </w:r>
    </w:p>
    <w:p>
      <w:pPr>
        <w:pStyle w:val="Normal"/>
        <w:framePr w:w="13126" w:hAnchor="page" w:vAnchor="page" w:x="1317" w:y="778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weighted at 50% of our performance Based Long-Term Incentive Plan). We believe an equal weighting of ROIC and relative TSR provides</w:t>
      </w:r>
    </w:p>
    <w:p>
      <w:pPr>
        <w:pStyle w:val="Normal"/>
        <w:framePr w:w="309" w:hAnchor="page" w:vAnchor="page" w:x="854" w:y="755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•</w:t>
      </w:r>
    </w:p>
    <w:p>
      <w:pPr>
        <w:pStyle w:val="Normal"/>
        <w:framePr w:w="12527" w:hAnchor="page" w:vAnchor="page" w:x="1317" w:y="755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Reintroduction of ROIC</w:t>
      </w: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as a performance measure for the 2022 long-term incentive award grant , in addition to relative TSR (each</w:t>
      </w:r>
    </w:p>
    <w:p>
      <w:pPr>
        <w:pStyle w:val="Normal"/>
        <w:framePr w:w="9165" w:hAnchor="page" w:vAnchor="page" w:x="1317" w:y="718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align payouts with shareholder expectations and addresses the second concern expressed by ISS.</w:t>
      </w:r>
    </w:p>
    <w:p>
      <w:pPr>
        <w:pStyle w:val="Normal"/>
        <w:framePr w:w="12772" w:hAnchor="page" w:vAnchor="page" w:x="1317" w:y="695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the plan will pay at target when achieving a 50th percentile position versus our relative TSR Peer Group. This change will more closely</w:t>
      </w:r>
    </w:p>
    <w:p>
      <w:pPr>
        <w:pStyle w:val="Normal"/>
        <w:framePr w:w="309" w:hAnchor="page" w:vAnchor="page" w:x="854" w:y="672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•</w:t>
      </w:r>
    </w:p>
    <w:p>
      <w:pPr>
        <w:pStyle w:val="Normal"/>
        <w:framePr w:w="13141" w:hAnchor="page" w:vAnchor="page" w:x="1317" w:y="672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Increased rigor of the relative TSR payout scale</w:t>
      </w: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in our long-term incentive plan. For the 2022-2024 plan, the relative TSR component of</w:t>
      </w:r>
    </w:p>
    <w:p>
      <w:pPr>
        <w:pStyle w:val="Normal"/>
        <w:framePr w:w="1776" w:hAnchor="page" w:vAnchor="page" w:x="276" w:y="636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changes include:</w:t>
      </w:r>
    </w:p>
    <w:p>
      <w:pPr>
        <w:pStyle w:val="Normal"/>
        <w:framePr w:w="14324" w:hAnchor="page" w:vAnchor="page" w:x="276" w:y="613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feedback prompted changes to our 2022 compensation program that further aligned our compensation practices with the interests of shareholders. These</w:t>
      </w:r>
    </w:p>
    <w:p>
      <w:pPr>
        <w:pStyle w:val="Normal"/>
        <w:framePr w:w="14338" w:hAnchor="page" w:vAnchor="page" w:x="276" w:y="590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During 2021-2022 engagement, we met with many of our top shareholders which allowed us to understand their priorities and perspectives. Shareholder</w:t>
      </w:r>
    </w:p>
    <w:p>
      <w:pPr>
        <w:pStyle w:val="Normal"/>
        <w:framePr w:w="8611" w:hAnchor="page" w:vAnchor="page" w:x="276" w:y="555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Additional changes to compensation program in response to shareholder engagement</w:t>
      </w:r>
    </w:p>
    <w:p>
      <w:pPr>
        <w:pStyle w:val="Normal"/>
        <w:framePr w:w="1860" w:hAnchor="page" w:vAnchor="page" w:x="1317" w:y="497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Incentive awards.</w:t>
      </w:r>
    </w:p>
    <w:p>
      <w:pPr>
        <w:pStyle w:val="Normal"/>
        <w:framePr w:w="12747" w:hAnchor="page" w:vAnchor="page" w:x="1317" w:y="474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for the Committee. Assuming target performance for the 2019 and 2020 PSUs maintained the retentive value of outstanding Long-term</w:t>
      </w:r>
    </w:p>
    <w:p>
      <w:pPr>
        <w:pStyle w:val="Normal"/>
        <w:framePr w:w="12996" w:hAnchor="page" w:vAnchor="page" w:x="1317" w:y="451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Retention and continuity of the executive team to achieve ambitious organizational transformation and strategic growth was a key priority</w:t>
      </w:r>
    </w:p>
    <w:p>
      <w:pPr>
        <w:pStyle w:val="Normal"/>
        <w:framePr w:w="309" w:hAnchor="page" w:vAnchor="page" w:x="854" w:y="428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•</w:t>
      </w:r>
    </w:p>
    <w:p>
      <w:pPr>
        <w:pStyle w:val="Normal"/>
        <w:framePr w:w="12681" w:hAnchor="page" w:vAnchor="page" w:x="1317" w:y="428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The robust market for leadership talent resulted in the departure of four of our executive officers from the Company in 2020 and 2021.</w:t>
      </w:r>
    </w:p>
    <w:p>
      <w:pPr>
        <w:pStyle w:val="Normal"/>
        <w:framePr w:w="9651" w:hAnchor="page" w:vAnchor="page" w:x="1317" w:y="391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since the goals had been set for the pre-spin organization and pre-spin business targets and objectives.</w:t>
      </w:r>
    </w:p>
    <w:p>
      <w:pPr>
        <w:pStyle w:val="Normal"/>
        <w:framePr w:w="309" w:hAnchor="page" w:vAnchor="page" w:x="854" w:y="368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•</w:t>
      </w:r>
    </w:p>
    <w:p>
      <w:pPr>
        <w:pStyle w:val="Normal"/>
        <w:framePr w:w="12655" w:hAnchor="page" w:vAnchor="page" w:x="1317" w:y="368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Following the Spin-off in February, it was no longer possible to measure 2019-2021 and 2020-2022 performance against the set goals,</w:t>
      </w:r>
    </w:p>
    <w:p>
      <w:pPr>
        <w:pStyle w:val="Normal"/>
        <w:framePr w:w="7660" w:hAnchor="page" w:vAnchor="page" w:x="276" w:y="332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Performance Upon the Spin-Off. The rationale for this action was the following:</w:t>
      </w:r>
    </w:p>
    <w:p>
      <w:pPr>
        <w:pStyle w:val="Normal"/>
        <w:framePr w:w="14222" w:hAnchor="page" w:vAnchor="page" w:x="276" w:y="309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business. These actions included the conversion of 2019 and 2020 Performance Share Units (PSUs) to Restricted Share Units (RSUs) Assuming Target</w:t>
      </w:r>
    </w:p>
    <w:p>
      <w:pPr>
        <w:pStyle w:val="Normal"/>
        <w:framePr w:w="13875" w:hAnchor="page" w:vAnchor="page" w:x="276" w:y="286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Given the significant change to the Company in 2021, the Committee took key executive compensation actions with the objective of supporting the</w:t>
      </w:r>
    </w:p>
    <w:p>
      <w:pPr>
        <w:pStyle w:val="Normal"/>
        <w:framePr w:w="4707" w:hAnchor="page" w:vAnchor="page" w:x="276" w:y="251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Key Executive Compensation Actions in 2021</w:t>
      </w:r>
    </w:p>
    <w:p>
      <w:pPr>
        <w:pStyle w:val="Normal"/>
        <w:framePr w:w="9763" w:hAnchor="page" w:vAnchor="page" w:x="276" w:y="193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Company structure during this period and long-term growth potential as a pure-play technology player.</w:t>
      </w:r>
    </w:p>
    <w:p>
      <w:pPr>
        <w:pStyle w:val="Normal"/>
        <w:framePr w:w="13810" w:hAnchor="page" w:vAnchor="page" w:x="276" w:y="170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ISS’ quantitative screen for alignment of pay to performance uses the 2019 – 2021 performance period and disregards the significant change in the</w:t>
      </w:r>
    </w:p>
    <w:p>
      <w:pPr>
        <w:pStyle w:val="Normal"/>
        <w:framePr w:w="13435" w:hAnchor="page" w:vAnchor="page" w:x="276" w:y="124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and our compelling and distinct investment profile has poised us for significant growth and positioned us to capitalize on the energy transition.</w:t>
      </w:r>
    </w:p>
    <w:p>
      <w:pPr>
        <w:pStyle w:val="Normal"/>
        <w:framePr w:w="14299" w:hAnchor="page" w:vAnchor="page" w:x="276" w:y="101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significant long term growth potential and shareholder value. The ability to focus on our distinct and expanding market opportunities and customer base</w:t>
      </w:r>
    </w:p>
    <w:p>
      <w:pPr>
        <w:pStyle w:val="Normal"/>
        <w:framePr w:w="14366" w:hAnchor="page" w:vAnchor="page" w:x="276" w:y="78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the Spin-off of Technip Energies and the emergence of TechnipFMC as an industry-leading, fully integrated technology and services provider, unlocking</w:t>
      </w:r>
    </w:p>
    <w:p>
      <w:pPr>
        <w:pStyle w:val="Normal"/>
        <w:framePr w:w="14149" w:hAnchor="page" w:vAnchor="page" w:x="276" w:y="54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2021 represented a significant, structural change for TechnipFMC. In the first quarter of 2021, our Executive Officers led the successful completion of</w:t>
      </w:r>
    </w:p>
    <w:p>
      <w:pPr>
        <w:pStyle w:val="Normal"/>
        <w:framePr w:w="10898" w:hAnchor="page" w:vAnchor="page" w:x="276" w:y="20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The Spin-off of Technip Energies represented a significant change during the 2019-2021 performance period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" style="position:absolute;margin-left:7pt;margin-top:1pt;z-index:-16777160;width:598pt;height:671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" style="position:absolute;margin-left:12.8pt;margin-top:1pt;z-index:-16777156;width:58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" style="position:absolute;margin-left:12.8pt;margin-top:2.45pt;z-index:-16777152;width:58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" style="position:absolute;margin-left:597.95pt;margin-top:1pt;z-index:-16777148;width:2.7pt;height:4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" style="position:absolute;margin-left:12.8pt;margin-top:1pt;z-index:-16777144;width:2.7pt;height:4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" style="position:absolute;margin-left:12.8pt;margin-top:586.15pt;z-index:-16777140;width:237.8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" style="position:absolute;margin-left:12.8pt;margin-top:633.9pt;z-index:-16777136;width:237.8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" style="position:absolute;margin-left:64.85pt;margin-top:344.55pt;z-index:-16777132;width:198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" style="position:absolute;margin-left:64.85pt;margin-top:385.8pt;z-index:-16777128;width:10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" o:title=""/>
          </v:shape>
        </w:pict>
      </w:r>
    </w:p>
    <w:sectPr>
      <w:pgSz w:w="12240" w:h="20160"/>
      <w:pgMar w:top="400" w:right="400" w:bottom="400" w:left="400" w:header="720" w:footer="720"/>
      <w:pgNumType w:start="3"/>
      <w:cols w:space="720" w:sep="off"/>
      <w:docGrid w:line-pitch="31680"/>
    </w:sectPr>
  </w:body>
</w:document>
</file>

<file path=word/fontTable.xml><?xml version="1.0" encoding="utf-8"?>
<w:fonts xmlns:w="http://schemas.openxmlformats.org/wordprocessingml/2006/main">
  <w:defaultFonts w:hintType="default" w:ascii="Calibri" w:h-ansi="Calibri" w:fareast="宋体"/>
  <w:font w:name="Times New Roman">
    <w:panose-1>"02020603050405020304"</w:panose-1>
    <w:charset>
      <w:val>"00"</w:val>
    </w:charset>
    <w:family>"Roman"</w:family>
    <w:notTrueType w:val="off"/>
    <w:pitch>"variable"</w:pitch>
    <w:sig w:usb0="01010101" w:usb1="01010101" w:usb2="01010101" w:usb3="01010101" w:csb0="01010101" w:csb1="01010101"/>
  </w:font>
  <w:font w:name="Symbol">
    <w:panose-1>"05050102010706020507"</w:panose-1>
    <w:charset>
      <w:val>"02"</w:val>
    </w:charset>
    <w:family>"Roman"</w:family>
    <w:notTrueType w:val="off"/>
    <w:pitch>"variable"</w:pitch>
    <w:sig w:usb0="01010101" w:usb1="01010101" w:usb2="01010101" w:usb3="01010101" w:csb0="01010101" w:csb1="01010101"/>
  </w:font>
  <w:font w:name="Arial">
    <w:panose-1>"020b0604020202020204"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libri">
    <w:panose-1>"020f0502020204030204"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宋体">
    <w:altName>"SimSun"</w:altName>
    <w:panose-1>"02010600030101010101"</w:panose-1>
    <w:charset>
      <w:val>"86"</w:val>
    </w:charset>
    <w:family>"Auto"</w:family>
    <w:notTrueType w:val="off"/>
    <w:pitch>"variable"</w:pitch>
    <w:sig w:usb0="01010101" w:usb1="01010101" w:usb2="01010101" w:usb3="01010101" w:csb0="01010101" w:csb1="01010101"/>
  </w:font>
  <w:font w:name="Cambria Math">
    <w:panose-1>"02040503050406030204"</w:panose-1>
    <w:charset>
      <w:val>"01"</w:val>
    </w:charset>
    <w:family>"Roman"</w:family>
    <w:notTrueType w:val="on"/>
    <w:pitch>"variable"</w:pitch>
    <w:sig w:usb0="01010101" w:usb1="01010101" w:usb2="01010101" w:usb3="01010101" w:csb0="01010101" w:csb1="01010101"/>
  </w:font>
  <w:font w:name="DejaVuSans">
    <w:panose-1>"020b0603030804020204"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1" w:fontKey="{be00ae22-0000-0000-0000-000000000000}"/>
  </w:font>
  <w:font w:name="TimesNewRomanPSMT">
    <w:panose-1>"02020603050405020304"</w:panose-1>
    <w:charset>
      <w:val>"01"</w:val>
    </w:charset>
    <w:family>"Roman"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2" w:fontKey="{0b244c23-0000-0000-0000-000000000000}"/>
  </w:font>
  <w:font w:name="TimesNewRomanPS-BoldMT">
    <w:panose-1>"02020803070505020304"</w:panose-1>
    <w:charset>
      <w:val>"01"</w:val>
    </w:charset>
    <w:family>"Roman"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3" w:fontKey="{caef09bc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style w:type="paragraph" w:styleId="Normal" w:default="on">
    <w:name w:val="Normal"/>
    <w:next w:val="Normal"/>
    <w:link w:val="Normal"/>
    <w:pPr>
      <w:pStyle w:val="Normal"/>
      <w:spacing w:after="200" w:line="276"/>
    </w:pPr>
    <w:rPr>
      <w:sz w:val="22"/>
      <w:szCs w:val="22"/>
      <w:lang w:val="en-US" w:fareast="zh-CN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pPr>
      <w:pStyle w:val="TableNormal"/>
    </w:pPr>
    <w:tblPr>
      <w:tblInd w:w="0" w:type="dxa"/>
      <w:tblLayout>"Fixed"</w:tblLayout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  <w:pPr>
      <w:pStyle w:val="NoLi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Relationship Id="rId10" Target="media/image10.png" Type="http://schemas.openxmlformats.org/officeDocument/2006/relationships/image"/><Relationship Id="rId11" Target="media/image11.png" Type="http://schemas.openxmlformats.org/officeDocument/2006/relationships/image"/><Relationship Id="rId12" Target="media/image12.png" Type="http://schemas.openxmlformats.org/officeDocument/2006/relationships/image"/><Relationship Id="rId13" Target="media/image13.png" Type="http://schemas.openxmlformats.org/officeDocument/2006/relationships/image"/><Relationship Id="rId14" Target="media/image14.png" Type="http://schemas.openxmlformats.org/officeDocument/2006/relationships/image"/><Relationship Id="rId15" Target="media/image15.png" Type="http://schemas.openxmlformats.org/officeDocument/2006/relationships/image"/><Relationship Id="rId16" Target="media/image16.png" Type="http://schemas.openxmlformats.org/officeDocument/2006/relationships/image"/><Relationship Id="rId17" Target="media/image17.png" Type="http://schemas.openxmlformats.org/officeDocument/2006/relationships/image"/><Relationship Id="rId18" Target="media/image18.png" Type="http://schemas.openxmlformats.org/officeDocument/2006/relationships/image"/><Relationship Id="rId19" Target="media/image19.png" Type="http://schemas.openxmlformats.org/officeDocument/2006/relationships/image"/><Relationship Id="rId2" Target="media/image2.png" Type="http://schemas.openxmlformats.org/officeDocument/2006/relationships/image"/><Relationship Id="rId20" Target="media/image20.png" Type="http://schemas.openxmlformats.org/officeDocument/2006/relationships/image"/><Relationship Id="rId21" Target="media/image21.png" Type="http://schemas.openxmlformats.org/officeDocument/2006/relationships/image"/><Relationship Id="rId22" Target="media/image22.png" Type="http://schemas.openxmlformats.org/officeDocument/2006/relationships/image"/><Relationship Id="rId23" Target="styles.xml" Type="http://schemas.openxmlformats.org/officeDocument/2006/relationships/styles"/><Relationship Id="rId24" Target="fontTable.xml" Type="http://schemas.openxmlformats.org/officeDocument/2006/relationships/fontTable"/><Relationship Id="rId25" Target="settings.xml" Type="http://schemas.openxmlformats.org/officeDocument/2006/relationships/settings"/><Relationship Id="rId26" Target="webSettings.xml" Type="http://schemas.openxmlformats.org/officeDocument/2006/relationships/webSettings"/><Relationship Id="rId3" Target="media/image3.png" Type="http://schemas.openxmlformats.org/officeDocument/2006/relationships/image"/><Relationship Id="rId4" Target="media/image4.png" Type="http://schemas.openxmlformats.org/officeDocument/2006/relationships/image"/><Relationship Id="rId5" Target="media/image5.png" Type="http://schemas.openxmlformats.org/officeDocument/2006/relationships/image"/><Relationship Id="rId6" Target="media/image6.png" Type="http://schemas.openxmlformats.org/officeDocument/2006/relationships/image"/><Relationship Id="rId7" Target="media/image7.png" Type="http://schemas.openxmlformats.org/officeDocument/2006/relationships/image"/><Relationship Id="rId8" Target="media/image8.png" Type="http://schemas.openxmlformats.org/officeDocument/2006/relationships/image"/><Relationship Id="rId9" Target="media/image9.png" Type="http://schemas.openxmlformats.org/officeDocument/2006/relationships/image"/></Relationships>
</file>

<file path=word/_rels/fontTable.xml.rels><?xml version="1.0" encoding="UTF-8" standalone="yes"?><Relationships xmlns="http://schemas.openxmlformats.org/package/2006/relationships"><Relationship Id="rId1" Target="fonts/font1.odttf" Type="http://schemas.openxmlformats.org/officeDocument/2006/relationships/font"/><Relationship Id="rId2" Target="fonts/font2.odttf" Type="http://schemas.openxmlformats.org/officeDocument/2006/relationships/font"/><Relationship Id="rId3" Target="fonts/font3.odttf" Type="http://schemas.openxmlformats.org/officeDocument/2006/relationships/font"/></Relationships>
</file>

<file path=docProps/app.xml><?xml version="1.0" encoding="utf-8"?>
<Properties xmlns="http://schemas.openxmlformats.org/officeDocument/2006/extended-properties">
  <Template>Normal.dotm</Template>
  <TotalTime>3</TotalTime>
  <Pages>3</Pages>
  <Words>1397</Words>
  <Characters>7835</Characters>
  <Application>e-iceblue</Application>
  <DocSecurity>0</DocSecurity>
  <Lines>128</Lines>
  <Paragraphs>128</Paragraphs>
  <ScaleCrop>false</ScaleCrop>
  <Company>e-iceblue</Company>
  <LinksUpToDate>false</LinksUpToDate>
  <CharactersWithSpaces>9110</CharactersWithSpaces>
  <SharedDoc>false</SharedDoc>
  <HyperlinksChanged>false</HyperlinksChanged>
  <AppVersion>1.0000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2022-04-19T10:14:03Z</dcterms:created>
  <dc:creator>root</dc:creator>
  <cp:lastModifiedBy>root</cp:lastModifiedBy>
  <dcterms:modified xsi:type="dcterms:W3CDTF">2022-04-19T10:14:03Z</dcterms:modified>
  <cp:revision>1</cp:revision>
</cp:coreProperties>
</file>