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55" w:hAnchor="page" w:vAnchor="page" w:x="280" w:y="734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10042" w:hAnchor="page" w:vAnchor="page" w:x="1001" w:y="734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Fee computed on table in exhibit required by Item 25(b) per Exchange Act Rules 14a-6(i)(1) and 0-11</w:t>
      </w:r>
    </w:p>
    <w:p>
      <w:pPr>
        <w:pStyle w:val="Normal"/>
        <w:framePr w:w="455" w:hAnchor="page" w:vAnchor="page" w:x="280" w:y="710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4741" w:hAnchor="page" w:vAnchor="page" w:x="1001" w:y="710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Fee paid previously with preliminary materials</w:t>
      </w:r>
    </w:p>
    <w:p>
      <w:pPr>
        <w:pStyle w:val="Normal"/>
        <w:framePr w:w="690" w:hAnchor="page" w:vAnchor="page" w:x="280" w:y="686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☒</w:t>
      </w:r>
    </w:p>
    <w:p>
      <w:pPr>
        <w:pStyle w:val="Normal"/>
        <w:framePr w:w="1747" w:hAnchor="page" w:vAnchor="page" w:x="1001" w:y="686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No fee required</w:t>
      </w:r>
    </w:p>
    <w:p>
      <w:pPr>
        <w:pStyle w:val="Normal"/>
        <w:framePr w:w="5215" w:hAnchor="page" w:vAnchor="page" w:x="280" w:y="662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Payment of Filing Fee (Check all boxes that apply):</w:t>
      </w:r>
    </w:p>
    <w:p>
      <w:pPr>
        <w:pStyle w:val="Normal"/>
        <w:framePr w:w="7996" w:hAnchor="page" w:vAnchor="page" w:x="3041" w:y="614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0"/>
          <w:szCs w:val="20"/>
        </w:rPr>
      </w:pPr>
      <w:r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0"/>
          <w:szCs w:val="20"/>
        </w:rPr>
        <w:t>(Name of Person(s) Filing Proxy Statement, if other than the Registrant)</w:t>
      </w:r>
    </w:p>
    <w:p>
      <w:pPr>
        <w:pStyle w:val="Normal"/>
        <w:framePr w:w="480" w:hAnchor="page" w:vAnchor="page" w:x="6020" w:y="5907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 xml:space="preserve"> </w:t>
      </w:r>
    </w:p>
    <w:p>
      <w:pPr>
        <w:pStyle w:val="Normal"/>
        <w:framePr w:w="5169" w:hAnchor="page" w:vAnchor="page" w:x="4067" w:y="5667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0"/>
          <w:szCs w:val="20"/>
        </w:rPr>
      </w:pPr>
      <w:r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0"/>
          <w:szCs w:val="20"/>
        </w:rPr>
        <w:t>(Name of Registrant as Specified In Its Charter)</w:t>
      </w:r>
    </w:p>
    <w:p>
      <w:pPr>
        <w:pStyle w:val="Normal"/>
        <w:framePr w:w="4439" w:hAnchor="page" w:vAnchor="page" w:x="4303" w:y="5214"/>
        <w:widowControl w:val="off"/>
        <w:autoSpaceDE w:val="off"/>
        <w:autoSpaceDN w:val="off"/>
        <w:spacing w:before="0" w:after="0" w:line="417" w:lineRule="exact"/>
        <w:ind w:left="0" w:right="0" w:first-line="0"/>
        <w:jc w:val="left"/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40"/>
          <w:szCs w:val="40"/>
        </w:rPr>
      </w:pPr>
      <w:r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40"/>
          <w:szCs w:val="40"/>
        </w:rPr>
        <w:t>TECHNIPFMC PLC</w:t>
      </w:r>
    </w:p>
    <w:p>
      <w:pPr>
        <w:pStyle w:val="Normal"/>
        <w:framePr w:w="455" w:hAnchor="page" w:vAnchor="page" w:x="280" w:y="472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3981" w:hAnchor="page" w:vAnchor="page" w:x="1001" w:y="472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Soliciting Material under § 240.14a-12</w:t>
      </w:r>
    </w:p>
    <w:p>
      <w:pPr>
        <w:pStyle w:val="Normal"/>
        <w:framePr w:w="690" w:hAnchor="page" w:vAnchor="page" w:x="280" w:y="448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☒</w:t>
      </w:r>
    </w:p>
    <w:p>
      <w:pPr>
        <w:pStyle w:val="Normal"/>
        <w:framePr w:w="3268" w:hAnchor="page" w:vAnchor="page" w:x="1001" w:y="448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Definitive Additional Materials</w:t>
      </w:r>
    </w:p>
    <w:p>
      <w:pPr>
        <w:pStyle w:val="Normal"/>
        <w:framePr w:w="455" w:hAnchor="page" w:vAnchor="page" w:x="280" w:y="424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2868" w:hAnchor="page" w:vAnchor="page" w:x="1001" w:y="424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Definitive Proxy Statement</w:t>
      </w:r>
    </w:p>
    <w:p>
      <w:pPr>
        <w:pStyle w:val="Normal"/>
        <w:framePr w:w="455" w:hAnchor="page" w:vAnchor="page" w:x="280" w:y="400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8069" w:hAnchor="page" w:vAnchor="page" w:x="1001" w:y="400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Confidential, for Use of the Commission Only (as permitted by Rule 14a-6(e)(2))</w:t>
      </w:r>
    </w:p>
    <w:p>
      <w:pPr>
        <w:pStyle w:val="Normal"/>
        <w:framePr w:w="455" w:hAnchor="page" w:vAnchor="page" w:x="280" w:y="376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3028" w:hAnchor="page" w:vAnchor="page" w:x="1001" w:y="376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Preliminary Proxy Statement</w:t>
      </w:r>
    </w:p>
    <w:p>
      <w:pPr>
        <w:pStyle w:val="Normal"/>
        <w:framePr w:w="2847" w:hAnchor="page" w:vAnchor="page" w:x="280" w:y="3520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Check the appropriate box:</w:t>
      </w:r>
    </w:p>
    <w:p>
      <w:pPr>
        <w:pStyle w:val="Normal"/>
        <w:framePr w:w="4470" w:hAnchor="page" w:vAnchor="page" w:x="280" w:y="3280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 xml:space="preserve">Filed by a Party other than the Registrant </w:t>
      </w: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2944" w:hAnchor="page" w:vAnchor="page" w:x="280" w:y="3040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 xml:space="preserve">Filed by the Registrant </w:t>
      </w:r>
      <w:r>
        <w:rPr>
          <w:rFonts w:ascii="RAPZIX+DejaVuSans" w:hAnsi="RAPZIX+DejaVuSans" w:fareast="RAPZIX+DejaVuSans" w:cs="RAPZIX+DejaVuSans"/>
          <w:color w:val="000000"/>
          <w:w w:val="100"/>
          <w:sz w:val="20"/>
          <w:szCs w:val="20"/>
        </w:rPr>
        <w:t>☒</w:t>
      </w:r>
    </w:p>
    <w:p>
      <w:pPr>
        <w:pStyle w:val="Normal"/>
        <w:framePr w:w="6115" w:hAnchor="page" w:vAnchor="page" w:x="3672" w:y="2560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the Securities Exchange Act of 1934 (Amendment No.   )</w:t>
      </w:r>
    </w:p>
    <w:p>
      <w:pPr>
        <w:pStyle w:val="Normal"/>
        <w:framePr w:w="4589" w:hAnchor="page" w:vAnchor="page" w:x="4308" w:y="231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</w:pPr>
      <w:r>
        <w:rPr>
          <w:rFonts w:ascii="KKIWKA+TimesNewRomanPSMT" w:hAnsi="KKIWKA+TimesNewRomanPSMT" w:fareast="KKIWKA+TimesNewRomanPSMT" w:cs="KKIWKA+TimesNewRomanPSMT"/>
          <w:color w:val="000000"/>
          <w:w w:val="100"/>
          <w:sz w:val="20"/>
          <w:szCs w:val="20"/>
        </w:rPr>
        <w:t>Proxy Statement Pursuant to Section 14(a) of</w:t>
      </w:r>
    </w:p>
    <w:p>
      <w:pPr>
        <w:pStyle w:val="Normal"/>
        <w:framePr w:w="3358" w:hAnchor="page" w:vAnchor="page" w:x="4774" w:y="1675"/>
        <w:widowControl w:val="off"/>
        <w:autoSpaceDE w:val="off"/>
        <w:autoSpaceDN w:val="off"/>
        <w:spacing w:before="0" w:after="0" w:line="375" w:lineRule="exact"/>
        <w:ind w:left="0" w:right="0" w:first-line="0"/>
        <w:jc w:val="left"/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36"/>
          <w:szCs w:val="36"/>
        </w:rPr>
      </w:pPr>
      <w:r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36"/>
          <w:szCs w:val="36"/>
        </w:rPr>
        <w:t>SCHEDULE 14A</w:t>
      </w:r>
    </w:p>
    <w:p>
      <w:pPr>
        <w:pStyle w:val="Normal"/>
        <w:framePr w:w="3002" w:hAnchor="page" w:vAnchor="page" w:x="4882" w:y="1160"/>
        <w:widowControl w:val="off"/>
        <w:autoSpaceDE w:val="off"/>
        <w:autoSpaceDN w:val="off"/>
        <w:spacing w:before="0" w:after="0" w:line="250" w:lineRule="exact"/>
        <w:ind w:left="0" w:right="0" w:first-line="0"/>
        <w:jc w:val="left"/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4"/>
          <w:szCs w:val="24"/>
        </w:rPr>
      </w:pPr>
      <w:r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6943" w:hAnchor="page" w:vAnchor="page" w:x="3105" w:y="841"/>
        <w:widowControl w:val="off"/>
        <w:autoSpaceDE w:val="off"/>
        <w:autoSpaceDN w:val="off"/>
        <w:spacing w:before="0" w:after="0" w:line="292" w:lineRule="exact"/>
        <w:ind w:left="0" w:right="0" w:first-line="0"/>
        <w:jc w:val="left"/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8"/>
          <w:szCs w:val="28"/>
        </w:rPr>
      </w:pPr>
      <w:r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8"/>
          <w:szCs w:val="28"/>
        </w:rPr>
        <w:t>SECURITIES AND EXCHANGE COMMISSION</w:t>
      </w:r>
    </w:p>
    <w:p>
      <w:pPr>
        <w:pStyle w:val="Normal"/>
        <w:framePr w:w="2766" w:hAnchor="page" w:vAnchor="page" w:x="5024" w:y="511"/>
        <w:widowControl w:val="off"/>
        <w:autoSpaceDE w:val="off"/>
        <w:autoSpaceDN w:val="off"/>
        <w:spacing w:before="0" w:after="0" w:line="292" w:lineRule="exact"/>
        <w:ind w:left="0" w:right="0" w:first-line="0"/>
        <w:jc w:val="left"/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8"/>
          <w:szCs w:val="28"/>
        </w:rPr>
      </w:pPr>
      <w:r>
        <w:rPr>
          <w:rFonts w:ascii="BVARNS+TimesNewRomanPS-BoldMT" w:hAnsi="BVARNS+TimesNewRomanPS-BoldMT" w:fareast="BVARNS+TimesNewRomanPS-BoldMT" w:cs="BVARNS+TimesNewRomanPS-BoldMT"/>
          <w:color w:val="000000"/>
          <w:w w:val="100"/>
          <w:sz w:val="28"/>
          <w:szCs w:val="28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pt;z-index:-16777208;width:58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pt;z-index:-16777204;width:586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13pt;margin-top:17.5pt;z-index:-16777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382.3pt;z-index:-16777196;width:58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382.3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390.6pt;z-index:-16777188;width:586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13pt;margin-top:404.1pt;z-index:-16777184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7pt;margin-top:1pt;z-index:-167771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780.15pt;z-index:-16777176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4pt;margin-top:2pt;z-index:-16777172;width:585.5pt;height:757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7pt;margin-top:1pt;z-index:-16777168;width:598pt;height:788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763.65pt;z-index:-16777164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4pt;margin-top:2pt;z-index:-16777160;width:585.5pt;height:757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</w:p>
    <w:sectPr>
      <w:pgSz w:w="12240" w:h="20160"/>
      <w:pgMar w:top="400" w:right="400" w:bottom="400" w:left="400" w:header="720" w:footer="720"/>
      <w:pgNumType w:start="3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RAPZIX+DejaVuSans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1fd6fe9-0000-0000-0000-000000000000}"/>
  </w:font>
  <w:font w:name="KKIWKA+TimesNewRomanPS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1def0e5a-0000-0000-0000-000000000000}"/>
  </w:font>
  <w:font w:name="BVARNS+TimesNewRomanPS-Bold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aa8ab22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1" Target="media/image11.jpeg" Type="http://schemas.openxmlformats.org/officeDocument/2006/relationships/image"/><Relationship Id="rId12" Target="media/image12.png" Type="http://schemas.openxmlformats.org/officeDocument/2006/relationships/image"/><Relationship Id="rId13" Target="media/image13.png" Type="http://schemas.openxmlformats.org/officeDocument/2006/relationships/image"/><Relationship Id="rId14" Target="media/image14.jpeg" Type="http://schemas.openxmlformats.org/officeDocument/2006/relationships/image"/><Relationship Id="rId15" Target="styles.xml" Type="http://schemas.openxmlformats.org/officeDocument/2006/relationships/styles"/><Relationship Id="rId16" Target="fontTable.xml" Type="http://schemas.openxmlformats.org/officeDocument/2006/relationships/fontTable"/><Relationship Id="rId17" Target="settings.xml" Type="http://schemas.openxmlformats.org/officeDocument/2006/relationships/settings"/><Relationship Id="rId18" Target="webSettings.xml" Type="http://schemas.openxmlformats.org/officeDocument/2006/relationships/webSettings"/><Relationship Id="rId2" Target="media/image2.png" Type="http://schemas.openxmlformats.org/officeDocument/2006/relationships/image"/><Relationship Id="rId3" Target="media/image3.png" Type="http://schemas.openxmlformats.org/officeDocument/2006/relationships/image"/><Relationship Id="rId4" Target="media/image4.png" Type="http://schemas.openxmlformats.org/officeDocument/2006/relationships/image"/><Relationship Id="rId5" Target="media/image5.png" Type="http://schemas.openxmlformats.org/officeDocument/2006/relationships/image"/><Relationship Id="rId6" Target="media/image6.png" Type="http://schemas.openxmlformats.org/officeDocument/2006/relationships/image"/><Relationship Id="rId7" Target="media/image7.png" Type="http://schemas.openxmlformats.org/officeDocument/2006/relationships/image"/><Relationship Id="rId8" Target="media/image8.png" Type="http://schemas.openxmlformats.org/officeDocument/2006/relationships/image"/><Relationship Id="rId9" Target="media/image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3</Pages>
  <Words>136</Words>
  <Characters>723</Characters>
  <Application>e-iceblue</Application>
  <DocSecurity>0</DocSecurity>
  <Lines>30</Lines>
  <Paragraphs>30</Paragraphs>
  <ScaleCrop>false</ScaleCrop>
  <Company>e-iceblue</Company>
  <LinksUpToDate>false</LinksUpToDate>
  <CharactersWithSpaces>829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2024-03-15T21:03:18Z</dcterms:created>
  <dc:creator>root</dc:creator>
  <cp:lastModifiedBy>root</cp:lastModifiedBy>
  <dcterms:modified xsi:type="dcterms:W3CDTF">2024-03-15T21:03:18Z</dcterms:modified>
  <cp:revision>1</cp:revision>
</cp:coreProperties>
</file>